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云锦时代（北京）供应链管理有限公司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普通货运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《中华人民共和国道路交通安全法》、《中华人民共和国道路运输条例》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《汽车货物运输规则》、《汽车危险货物运输规则》、《集装箱汽车运输规则》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《国际道路运输管理规定》《超限运输车辆行驶公路管理规定》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DB11/ 1228-2015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2015-09-01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1265-2015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清洁生产评价指标体系 汽车维修及拆解业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2016-04-01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1426-2017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汽车维修业污染防治技术规范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2017-10-01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 GB/T 16739.1-2014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第1部分：汽车整车维修企业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GB/T 16739.2-2014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第2部分：汽车综合小修及专项维修业户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清洁行业企业资质评价体系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 10596-2011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卫生保洁服务通则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DB11T 658-2009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10595-2011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保洁服务质量规范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DB36∕T 851-2015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李桐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2020.11.18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CA6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2020-11-17T14:28:27Z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