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测量设备溯源</w:t>
      </w:r>
      <w:r>
        <w:rPr>
          <w:rFonts w:hint="eastAsia" w:ascii="Times New Roman" w:hAnsi="Times New Roman" w:cs="宋体"/>
          <w:b/>
          <w:bCs/>
          <w:sz w:val="30"/>
          <w:szCs w:val="30"/>
        </w:rPr>
        <w:t>抽查</w:t>
      </w:r>
      <w:r>
        <w:rPr>
          <w:rFonts w:hint="eastAsia" w:ascii="宋体" w:hAnsi="宋体" w:cs="宋体"/>
          <w:b/>
          <w:bCs/>
          <w:sz w:val="30"/>
          <w:szCs w:val="30"/>
        </w:rPr>
        <w:t>表</w:t>
      </w:r>
    </w:p>
    <w:p>
      <w:pPr>
        <w:jc w:val="center"/>
        <w:rPr>
          <w:rFonts w:ascii="宋体" w:cs="Times New Roman"/>
          <w:b/>
          <w:bCs/>
          <w:color w:val="auto"/>
          <w:sz w:val="30"/>
          <w:szCs w:val="30"/>
        </w:rPr>
      </w:pPr>
      <w:r>
        <w:rPr>
          <w:rFonts w:hint="eastAsia" w:ascii="Times New Roman" w:hAnsi="Times New Roman" w:cs="Times New Roman"/>
          <w:sz w:val="20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/>
          <w:color w:val="auto"/>
          <w:szCs w:val="21"/>
          <w:u w:val="single"/>
        </w:rPr>
        <w:t>0</w:t>
      </w:r>
      <w:r>
        <w:rPr>
          <w:rFonts w:hint="eastAsia"/>
          <w:color w:val="auto"/>
          <w:szCs w:val="21"/>
          <w:u w:val="single"/>
          <w:lang w:val="en-US" w:eastAsia="zh-CN"/>
        </w:rPr>
        <w:t>218</w:t>
      </w:r>
      <w:r>
        <w:rPr>
          <w:rFonts w:hint="eastAsia"/>
          <w:color w:val="auto"/>
          <w:szCs w:val="21"/>
          <w:u w:val="single"/>
        </w:rPr>
        <w:t>-2020</w:t>
      </w:r>
    </w:p>
    <w:tbl>
      <w:tblPr>
        <w:tblStyle w:val="5"/>
        <w:tblpPr w:leftFromText="180" w:rightFromText="180" w:vertAnchor="page" w:horzAnchor="page" w:tblpX="721" w:tblpY="3025"/>
        <w:tblOverlap w:val="never"/>
        <w:tblW w:w="10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133"/>
        <w:gridCol w:w="1050"/>
        <w:gridCol w:w="1292"/>
        <w:gridCol w:w="1654"/>
        <w:gridCol w:w="1303"/>
        <w:gridCol w:w="1291"/>
        <w:gridCol w:w="1132"/>
        <w:gridCol w:w="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企业</w:t>
            </w:r>
          </w:p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名称</w:t>
            </w:r>
          </w:p>
        </w:tc>
        <w:tc>
          <w:tcPr>
            <w:tcW w:w="6432" w:type="dxa"/>
            <w:gridSpan w:val="5"/>
            <w:vAlign w:val="center"/>
          </w:tcPr>
          <w:p>
            <w:pPr>
              <w:spacing w:line="440" w:lineRule="exact"/>
              <w:ind w:firstLine="360" w:firstLineChars="20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浙江正辉照明工程</w:t>
            </w:r>
            <w:r>
              <w:rPr>
                <w:rFonts w:hint="eastAsia"/>
                <w:szCs w:val="21"/>
                <w:u w:val="none"/>
              </w:rPr>
              <w:t>有限公司 </w:t>
            </w:r>
          </w:p>
        </w:tc>
        <w:tc>
          <w:tcPr>
            <w:tcW w:w="1291" w:type="dxa"/>
            <w:vAlign w:val="center"/>
          </w:tcPr>
          <w:p>
            <w:pPr>
              <w:ind w:firstLine="90" w:firstLineChars="5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审核员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焦秀伟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部门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测量设备名称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测量设备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编号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型号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规格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测量设备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准确度等级/最大允许误差/测量不确定度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测量标准置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准确度等级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检定/校准机构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检定/校准日期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符合打√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绝缘电阻表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ZH1603001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ZC25-3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10级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精密数字压力表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标准可调式高阻箱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5"/>
                <w:szCs w:val="15"/>
                <w:lang w:val="en-US" w:eastAsia="zh-CN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5"/>
                <w:szCs w:val="15"/>
                <w:vertAlign w:val="subscript"/>
                <w:lang w:val="en-US" w:eastAsia="zh-CN"/>
              </w:rPr>
              <w:t>rel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=2.0%，k=2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深圳新广行检测技术有限公司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2020.4.18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品管部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照度计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ZH120645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LX-1010B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=1.6%，(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=2)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光度计量检定系统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=1.2%，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深圳新广行检测技术有限公司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2020.4.18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防爆外壳水压测试机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ZH1802005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SUP-WK-40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vertAlign w:val="subscript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=0.4%，(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=2)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auto"/>
              <w:rPr>
                <w:rFonts w:hint="default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精密数字压力计  0.4级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深圳新广行检测技术有限公司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2020.4.18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精密数显直流稳压电源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ZH1203005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WY305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电压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=0.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%，k=2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电流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0.5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%，k=2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  <w:t>精密数字多用表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  <w:t>DCV: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5"/>
                <w:szCs w:val="15"/>
                <w:lang w:val="en-US" w:eastAsia="zh-CN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5"/>
                <w:szCs w:val="15"/>
                <w:vertAlign w:val="subscript"/>
                <w:lang w:val="en-US" w:eastAsia="zh-CN"/>
              </w:rPr>
              <w:t>rel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=0.002%，k=2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深圳新广行检测技术有限公司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2020.4.18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耐压测试仪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ZH1405001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CS2670A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交流电压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1.8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%，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</w:rPr>
              <w:t>k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=2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数字高压表149-10A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  <w:t>DCV: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kern w:val="2"/>
                <w:sz w:val="15"/>
                <w:szCs w:val="15"/>
                <w:lang w:val="en-US" w:eastAsia="zh-CN" w:bidi="ar-SA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kern w:val="2"/>
                <w:sz w:val="15"/>
                <w:szCs w:val="15"/>
                <w:vertAlign w:val="subscript"/>
                <w:lang w:val="en-US" w:eastAsia="zh-CN" w:bidi="ar-SA"/>
              </w:rPr>
              <w:t>rel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  <w:t>=0.16%(k=2)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  <w:t>ACV: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kern w:val="2"/>
                <w:sz w:val="15"/>
                <w:szCs w:val="15"/>
                <w:lang w:val="en-US" w:eastAsia="zh-CN" w:bidi="ar-SA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kern w:val="2"/>
                <w:sz w:val="15"/>
                <w:szCs w:val="15"/>
                <w:vertAlign w:val="subscript"/>
                <w:lang w:val="en-US" w:eastAsia="zh-CN" w:bidi="ar-SA"/>
              </w:rPr>
              <w:t>rel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  <w:t>=0.33%(k=2)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深圳新广行检测技术有限公司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2020.4.18</w:t>
            </w:r>
          </w:p>
        </w:tc>
        <w:tc>
          <w:tcPr>
            <w:tcW w:w="604" w:type="dxa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品管部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盐雾试验箱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ZH1102001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GT-Y-120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温度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U=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0.4℃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沉降率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U=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0.06mL/80㎡·h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=2)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数据采集器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U=0.2℃ 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</w:rPr>
              <w:t>k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=2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过程校验仪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U=0.3℃ 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</w:rPr>
              <w:t>k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=2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量筒A级合格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深圳新广行检测技术有限公司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2020.4.18</w:t>
            </w:r>
          </w:p>
        </w:tc>
        <w:tc>
          <w:tcPr>
            <w:tcW w:w="604" w:type="dxa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淋水和溅水试验设备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ZH1309006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LJS-1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长度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U=0.03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㎜，时间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U=0.05s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=2)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电子秒表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U=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0.004s，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</w:rPr>
              <w:t>k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=2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针规0-10㎜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±1μm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深圳新广行检测技术有限公司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2020.4.18</w:t>
            </w:r>
          </w:p>
        </w:tc>
        <w:tc>
          <w:tcPr>
            <w:tcW w:w="604" w:type="dxa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品管部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光谱彩色照度计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ZH1709003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SPIC-200B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1.6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%，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</w:rPr>
              <w:t>k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=2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光度计量检定系统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=1.2%，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深圳新广行检测技术有限公司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2020.4.18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交流调压器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ZH1702001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(0-300)V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0.1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%，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</w:rPr>
              <w:t>k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=2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精密数字多用表34401A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vertAlign w:val="superscript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=0.01%，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深圳新广行检测技术有限公司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2020.4.18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u w:val="none"/>
                <w:lang w:val="en-US" w:eastAsia="zh-CN"/>
              </w:rPr>
              <w:t>声级计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ZH1608005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824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U=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0.4d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b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</w:rPr>
              <w:t>k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=2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声校准器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U=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0.15db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</w:rPr>
              <w:t>k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=2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深圳新广行检测技术有限公司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2020.4.18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036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审核综合意見：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textAlignment w:val="auto"/>
              <w:rPr>
                <w:rFonts w:asciiTheme="minorEastAsia" w:hAnsiTheme="minorEastAsia" w:cstheme="minorEastAsia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该公司未建立最高计量标准，所有测量设备均送至具备相应资质的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深圳新广行检测技术有限公司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进行检定/校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准，抽查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份测量设备检定/校准证书，检定/校准证书均在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有效期内。量值溯源符合标准要求。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036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240" w:line="200" w:lineRule="exact"/>
              <w:jc w:val="left"/>
              <w:textAlignment w:val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审核日期：  2020 年 1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240" w:line="200" w:lineRule="exact"/>
              <w:jc w:val="left"/>
              <w:textAlignment w:val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审核员签字：                                 部门代表签字：</w:t>
            </w:r>
          </w:p>
        </w:tc>
      </w:tr>
    </w:tbl>
    <w:p>
      <w:pPr>
        <w:spacing w:before="100" w:beforeAutospacing="1" w:after="240"/>
        <w:rPr>
          <w:rFonts w:hint="eastAsia" w:asciiTheme="minorEastAsia" w:hAnsiTheme="minorEastAsia" w:eastAsiaTheme="minorEastAsia" w:cstheme="minorEastAsia"/>
          <w:sz w:val="15"/>
          <w:szCs w:val="15"/>
          <w:u w:val="single"/>
          <w:lang w:eastAsia="zh-CN"/>
        </w:rPr>
      </w:pPr>
      <w:r>
        <w:rPr>
          <w:rFonts w:hint="eastAsia" w:asciiTheme="minorEastAsia" w:hAnsiTheme="minorEastAsia" w:cstheme="minorEastAsia"/>
          <w:sz w:val="15"/>
          <w:szCs w:val="15"/>
        </w:rPr>
        <w:t xml:space="preserve">     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66.5pt;margin-top:-0.4pt;height:20.6pt;width:215.85pt;z-index:251658240;mso-width-relative:page;mso-height-relative:page;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D ISC-A-I-09 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3" o:spt="32" type="#_x0000_t32" style="position:absolute;left:0pt;margin-left:-0.45pt;margin-top:3pt;height:0pt;width:478pt;z-index:251658240;mso-width-relative:page;mso-height-relative:page;" filled="f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02071"/>
    <w:rsid w:val="000A236E"/>
    <w:rsid w:val="000F06D4"/>
    <w:rsid w:val="00141F79"/>
    <w:rsid w:val="00177646"/>
    <w:rsid w:val="001C0853"/>
    <w:rsid w:val="001E7B9C"/>
    <w:rsid w:val="0021570A"/>
    <w:rsid w:val="0024057A"/>
    <w:rsid w:val="00244C31"/>
    <w:rsid w:val="002636CA"/>
    <w:rsid w:val="00285D22"/>
    <w:rsid w:val="002A3CBC"/>
    <w:rsid w:val="002A3F33"/>
    <w:rsid w:val="002D2DD2"/>
    <w:rsid w:val="002D3C05"/>
    <w:rsid w:val="002E7FC9"/>
    <w:rsid w:val="00322376"/>
    <w:rsid w:val="0033169D"/>
    <w:rsid w:val="00354942"/>
    <w:rsid w:val="0036244D"/>
    <w:rsid w:val="003857FA"/>
    <w:rsid w:val="00392597"/>
    <w:rsid w:val="003F7ABC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3737A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7C0DFC"/>
    <w:rsid w:val="00802524"/>
    <w:rsid w:val="00802AD1"/>
    <w:rsid w:val="0081413C"/>
    <w:rsid w:val="00816CDC"/>
    <w:rsid w:val="00830624"/>
    <w:rsid w:val="00845EE7"/>
    <w:rsid w:val="008544CF"/>
    <w:rsid w:val="0085467A"/>
    <w:rsid w:val="008D01A0"/>
    <w:rsid w:val="008E32F7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549AA"/>
    <w:rsid w:val="00A60DEA"/>
    <w:rsid w:val="00A65FA8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B2AF5"/>
    <w:rsid w:val="00CC7828"/>
    <w:rsid w:val="00CD3625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A1102"/>
    <w:rsid w:val="00FB7B5C"/>
    <w:rsid w:val="00FC3B89"/>
    <w:rsid w:val="00FD6D08"/>
    <w:rsid w:val="00FE4B4C"/>
    <w:rsid w:val="00FE56CD"/>
    <w:rsid w:val="00FE7B45"/>
    <w:rsid w:val="00FF6FDE"/>
    <w:rsid w:val="040826B3"/>
    <w:rsid w:val="04497FA6"/>
    <w:rsid w:val="0477551D"/>
    <w:rsid w:val="05307BEF"/>
    <w:rsid w:val="05DD41CC"/>
    <w:rsid w:val="06A5146B"/>
    <w:rsid w:val="06B86AA7"/>
    <w:rsid w:val="06C206CF"/>
    <w:rsid w:val="06DB66E5"/>
    <w:rsid w:val="07402B3E"/>
    <w:rsid w:val="075A6F77"/>
    <w:rsid w:val="09C202D7"/>
    <w:rsid w:val="09CD68B1"/>
    <w:rsid w:val="0A0014CB"/>
    <w:rsid w:val="0A855B9D"/>
    <w:rsid w:val="0A9E2E3D"/>
    <w:rsid w:val="0B3848CF"/>
    <w:rsid w:val="0B795F19"/>
    <w:rsid w:val="0BA7638B"/>
    <w:rsid w:val="0C43603C"/>
    <w:rsid w:val="0C54310F"/>
    <w:rsid w:val="0CB60CA2"/>
    <w:rsid w:val="0CED6E34"/>
    <w:rsid w:val="0D091A8B"/>
    <w:rsid w:val="0DDB3F5A"/>
    <w:rsid w:val="10267041"/>
    <w:rsid w:val="10C05458"/>
    <w:rsid w:val="11661E8D"/>
    <w:rsid w:val="12D23331"/>
    <w:rsid w:val="12FA27DC"/>
    <w:rsid w:val="13A020BB"/>
    <w:rsid w:val="14312CB8"/>
    <w:rsid w:val="14485B52"/>
    <w:rsid w:val="145F3A5F"/>
    <w:rsid w:val="14900C06"/>
    <w:rsid w:val="14BC4A25"/>
    <w:rsid w:val="14F44B60"/>
    <w:rsid w:val="160F68B3"/>
    <w:rsid w:val="16623D8E"/>
    <w:rsid w:val="16A736F1"/>
    <w:rsid w:val="16DB245A"/>
    <w:rsid w:val="17DD60A6"/>
    <w:rsid w:val="199275D8"/>
    <w:rsid w:val="19C84CA1"/>
    <w:rsid w:val="1A7349E6"/>
    <w:rsid w:val="1B74067B"/>
    <w:rsid w:val="1BAE1358"/>
    <w:rsid w:val="1C175E62"/>
    <w:rsid w:val="1CED2F4F"/>
    <w:rsid w:val="1E3672B2"/>
    <w:rsid w:val="1E4777E0"/>
    <w:rsid w:val="1EA15349"/>
    <w:rsid w:val="1F8E47B0"/>
    <w:rsid w:val="200A4D1B"/>
    <w:rsid w:val="21475622"/>
    <w:rsid w:val="2176735C"/>
    <w:rsid w:val="21C405FE"/>
    <w:rsid w:val="21D4330B"/>
    <w:rsid w:val="21EF52B3"/>
    <w:rsid w:val="22385B95"/>
    <w:rsid w:val="224E77E5"/>
    <w:rsid w:val="22C06E70"/>
    <w:rsid w:val="22F10495"/>
    <w:rsid w:val="246E311D"/>
    <w:rsid w:val="249C7E16"/>
    <w:rsid w:val="265B6DFF"/>
    <w:rsid w:val="27045817"/>
    <w:rsid w:val="27652BE8"/>
    <w:rsid w:val="2820476D"/>
    <w:rsid w:val="28FB5ACE"/>
    <w:rsid w:val="293C5390"/>
    <w:rsid w:val="2AD41CCE"/>
    <w:rsid w:val="2BB00388"/>
    <w:rsid w:val="2C454420"/>
    <w:rsid w:val="2C71736B"/>
    <w:rsid w:val="2C76336F"/>
    <w:rsid w:val="2D0304F4"/>
    <w:rsid w:val="2E132EA6"/>
    <w:rsid w:val="2E2F4929"/>
    <w:rsid w:val="2E5B3EA0"/>
    <w:rsid w:val="2E7B5BEB"/>
    <w:rsid w:val="306F0303"/>
    <w:rsid w:val="30C046B9"/>
    <w:rsid w:val="312302E5"/>
    <w:rsid w:val="316546E0"/>
    <w:rsid w:val="32B82631"/>
    <w:rsid w:val="32E234A3"/>
    <w:rsid w:val="32FA2076"/>
    <w:rsid w:val="34283294"/>
    <w:rsid w:val="346262B1"/>
    <w:rsid w:val="35C35931"/>
    <w:rsid w:val="35C800D0"/>
    <w:rsid w:val="37C56116"/>
    <w:rsid w:val="381F5BA7"/>
    <w:rsid w:val="3834156D"/>
    <w:rsid w:val="39F01ACB"/>
    <w:rsid w:val="3A7C2C44"/>
    <w:rsid w:val="3AB260A4"/>
    <w:rsid w:val="3CAC5E09"/>
    <w:rsid w:val="3E445435"/>
    <w:rsid w:val="3ED2535E"/>
    <w:rsid w:val="3F04448D"/>
    <w:rsid w:val="3F5E6413"/>
    <w:rsid w:val="3F9A56D5"/>
    <w:rsid w:val="41361EEC"/>
    <w:rsid w:val="416247FC"/>
    <w:rsid w:val="4206500A"/>
    <w:rsid w:val="42A54140"/>
    <w:rsid w:val="42B41254"/>
    <w:rsid w:val="43B473A8"/>
    <w:rsid w:val="43D666FA"/>
    <w:rsid w:val="44D9387E"/>
    <w:rsid w:val="45713F9F"/>
    <w:rsid w:val="470F4AFA"/>
    <w:rsid w:val="476B1C27"/>
    <w:rsid w:val="47BA1D9A"/>
    <w:rsid w:val="489915DA"/>
    <w:rsid w:val="498A23DC"/>
    <w:rsid w:val="4A591B91"/>
    <w:rsid w:val="4A77221D"/>
    <w:rsid w:val="4B416954"/>
    <w:rsid w:val="4B7C002F"/>
    <w:rsid w:val="4B9A5C1D"/>
    <w:rsid w:val="4BA94934"/>
    <w:rsid w:val="4BBF781D"/>
    <w:rsid w:val="4C200BE7"/>
    <w:rsid w:val="4D0A339F"/>
    <w:rsid w:val="4ED836D1"/>
    <w:rsid w:val="4F1204A0"/>
    <w:rsid w:val="4F411043"/>
    <w:rsid w:val="50F31247"/>
    <w:rsid w:val="50F9466D"/>
    <w:rsid w:val="51554606"/>
    <w:rsid w:val="518B24B9"/>
    <w:rsid w:val="521E6CFC"/>
    <w:rsid w:val="524A7E5A"/>
    <w:rsid w:val="542963B8"/>
    <w:rsid w:val="54697A53"/>
    <w:rsid w:val="54954B72"/>
    <w:rsid w:val="54964BF9"/>
    <w:rsid w:val="54B62356"/>
    <w:rsid w:val="54F00911"/>
    <w:rsid w:val="568E6A30"/>
    <w:rsid w:val="56AC0165"/>
    <w:rsid w:val="56E16F41"/>
    <w:rsid w:val="5890238A"/>
    <w:rsid w:val="5A2E5531"/>
    <w:rsid w:val="5C2F230C"/>
    <w:rsid w:val="5C98550A"/>
    <w:rsid w:val="5D6D4F01"/>
    <w:rsid w:val="5DAF670E"/>
    <w:rsid w:val="5E254428"/>
    <w:rsid w:val="5EDE6996"/>
    <w:rsid w:val="5F537EB1"/>
    <w:rsid w:val="60A73F87"/>
    <w:rsid w:val="624F6551"/>
    <w:rsid w:val="649A2842"/>
    <w:rsid w:val="650D57B0"/>
    <w:rsid w:val="665D0789"/>
    <w:rsid w:val="667A084C"/>
    <w:rsid w:val="687F354B"/>
    <w:rsid w:val="688256F5"/>
    <w:rsid w:val="69372B4B"/>
    <w:rsid w:val="69BB5313"/>
    <w:rsid w:val="6A6C0416"/>
    <w:rsid w:val="6B2F5952"/>
    <w:rsid w:val="6B332D1E"/>
    <w:rsid w:val="6D060969"/>
    <w:rsid w:val="6D0A51B0"/>
    <w:rsid w:val="6D1C7F56"/>
    <w:rsid w:val="6D360379"/>
    <w:rsid w:val="6DE41069"/>
    <w:rsid w:val="6E2B0A62"/>
    <w:rsid w:val="6E2B63E1"/>
    <w:rsid w:val="6E3A3C38"/>
    <w:rsid w:val="6E490805"/>
    <w:rsid w:val="6EAB17DC"/>
    <w:rsid w:val="6EAB4066"/>
    <w:rsid w:val="6FBF39C1"/>
    <w:rsid w:val="6FD72DC6"/>
    <w:rsid w:val="6FEC5DB0"/>
    <w:rsid w:val="6FFD6BA8"/>
    <w:rsid w:val="70627A55"/>
    <w:rsid w:val="708F1B14"/>
    <w:rsid w:val="712979E9"/>
    <w:rsid w:val="724F016D"/>
    <w:rsid w:val="72962A6B"/>
    <w:rsid w:val="74B95996"/>
    <w:rsid w:val="762414E0"/>
    <w:rsid w:val="768D1D68"/>
    <w:rsid w:val="775F6B3C"/>
    <w:rsid w:val="777571F9"/>
    <w:rsid w:val="784B4F7F"/>
    <w:rsid w:val="79097CF8"/>
    <w:rsid w:val="794D3E6A"/>
    <w:rsid w:val="79734BBE"/>
    <w:rsid w:val="79E24574"/>
    <w:rsid w:val="79FD24A5"/>
    <w:rsid w:val="7A3A60DA"/>
    <w:rsid w:val="7A481864"/>
    <w:rsid w:val="7AB40CEC"/>
    <w:rsid w:val="7B18314A"/>
    <w:rsid w:val="7B7A16A4"/>
    <w:rsid w:val="7BB21708"/>
    <w:rsid w:val="7C125B5E"/>
    <w:rsid w:val="7C194E41"/>
    <w:rsid w:val="7C9F111A"/>
    <w:rsid w:val="7CBF5C87"/>
    <w:rsid w:val="7D737B9C"/>
    <w:rsid w:val="7D754E90"/>
    <w:rsid w:val="7D926361"/>
    <w:rsid w:val="7E5533AA"/>
    <w:rsid w:val="7E684733"/>
    <w:rsid w:val="7ED32791"/>
    <w:rsid w:val="7F206F4F"/>
    <w:rsid w:val="7F5402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168</Words>
  <Characters>959</Characters>
  <Lines>7</Lines>
  <Paragraphs>2</Paragraphs>
  <TotalTime>1</TotalTime>
  <ScaleCrop>false</ScaleCrop>
  <LinksUpToDate>false</LinksUpToDate>
  <CharactersWithSpaces>1125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cp:lastPrinted>2020-01-08T02:39:00Z</cp:lastPrinted>
  <dcterms:modified xsi:type="dcterms:W3CDTF">2020-11-10T01:21:07Z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