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0093-2016-2020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大庆世佳石油设备股份有限公司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技检部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李全恕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bookmarkStart w:id="2" w:name="_GoBack"/>
            <w:bookmarkEnd w:id="2"/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抽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查</w:t>
            </w:r>
            <w:r>
              <w:rPr>
                <w:rFonts w:hint="eastAsia" w:ascii="宋体"/>
                <w:color w:val="auto"/>
                <w:szCs w:val="21"/>
              </w:rPr>
              <w:t>《</w:t>
            </w:r>
            <w:r>
              <w:rPr>
                <w:rFonts w:hint="eastAsia" w:ascii="宋体"/>
                <w:color w:val="auto"/>
                <w:szCs w:val="21"/>
                <w:lang w:eastAsia="zh-CN"/>
              </w:rPr>
              <w:t>抽油机伺服控制配电箱出厂检验报告</w:t>
            </w:r>
            <w:r>
              <w:rPr>
                <w:rFonts w:hint="eastAsia" w:ascii="宋体"/>
                <w:color w:val="auto"/>
                <w:szCs w:val="21"/>
              </w:rPr>
              <w:t>》</w:t>
            </w:r>
            <w:r>
              <w:rPr>
                <w:rFonts w:hint="eastAsia" w:ascii="宋体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宋体"/>
                <w:color w:val="auto"/>
                <w:szCs w:val="21"/>
                <w:lang w:val="en-US" w:eastAsia="zh-CN"/>
              </w:rPr>
              <w:t>其中检验项目电气间隙和爬电距离的技术要求和检验结果没有描述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。不符合GB/T19022-2003标准中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7.2.4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条款“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c</w:t>
            </w:r>
            <w:r>
              <w:rPr>
                <w:rFonts w:hint="eastAsia" w:ascii="宋体"/>
                <w:color w:val="auto"/>
                <w:szCs w:val="21"/>
                <w:lang w:val="en-US" w:eastAsia="zh-CN"/>
              </w:rPr>
              <w:t>）根据测量过程控制数据的结果而采取的措施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。”的规定要求。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  <w:p>
            <w:pPr>
              <w:spacing w:line="440" w:lineRule="exact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GB/T 19022-2003标准的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7.2.4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条款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测量过程的记录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hAnsi="宋体" w:cs="宋体"/>
                <w:kern w:val="0"/>
                <w:szCs w:val="21"/>
              </w:rPr>
              <w:t>；次要不符合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√  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C050D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5</TotalTime>
  <ScaleCrop>false</ScaleCrop>
  <LinksUpToDate>false</LinksUpToDate>
  <CharactersWithSpaces>333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2020-11-11T03:07:21Z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