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default" w:ascii="Times New Roman" w:hAnsi="Times New Roman" w:cs="Times New Roman" w:eastAsiaTheme="minorEastAsia"/>
          <w:sz w:val="24"/>
          <w:u w:val="single"/>
          <w:lang w:val="en-US" w:eastAsia="zh-CN"/>
        </w:rPr>
      </w:pPr>
      <w:r>
        <w:rPr>
          <w:rFonts w:ascii="Times New Roman" w:hAnsi="Times New Roman" w:cs="Times New Roman"/>
          <w:sz w:val="32"/>
        </w:rPr>
        <w:t>认 证 企 业：</w:t>
      </w:r>
      <w:r>
        <w:rPr>
          <w:rFonts w:hint="eastAsia" w:ascii="Times New Roman" w:hAnsi="Times New Roman" w:cs="Times New Roman"/>
          <w:sz w:val="32"/>
          <w:u w:val="single"/>
          <w:lang w:val="en-US" w:eastAsia="zh-CN"/>
        </w:rPr>
        <w:t xml:space="preserve"> </w:t>
      </w:r>
      <w:r>
        <w:rPr>
          <w:rFonts w:hint="eastAsia" w:ascii="宋体" w:hAnsi="宋体" w:eastAsia="宋体" w:cs="宋体"/>
          <w:sz w:val="30"/>
          <w:szCs w:val="30"/>
          <w:u w:val="single"/>
          <w:lang w:eastAsia="zh-CN"/>
        </w:rPr>
        <w:t>百恒石油装备有限公司</w:t>
      </w:r>
      <w:r>
        <w:rPr>
          <w:rFonts w:hint="eastAsia" w:ascii="宋体" w:hAnsi="宋体" w:eastAsia="宋体" w:cs="宋体"/>
          <w:sz w:val="30"/>
          <w:szCs w:val="30"/>
          <w:u w:val="single"/>
          <w:lang w:val="en-US" w:eastAsia="zh-CN"/>
        </w:rPr>
        <w:t xml:space="preserve"> </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089</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089</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百恒石油装备有限公司</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翟楠楠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ISC-2016-0076</w:t>
            </w:r>
          </w:p>
        </w:tc>
        <w:tc>
          <w:tcPr>
            <w:tcW w:w="1892"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412"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2021.12.23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四</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both"/>
              <w:rPr>
                <w:rFonts w:ascii="宋体" w:cs="宋体"/>
                <w:color w:val="auto"/>
                <w:kern w:val="0"/>
                <w:szCs w:val="21"/>
                <w:highlight w:val="none"/>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sz w:val="21"/>
                <w:szCs w:val="21"/>
                <w:highlight w:val="none"/>
                <w:lang w:val="en-US" w:eastAsia="zh-CN"/>
              </w:rPr>
              <w:t>质量部、生产部、</w:t>
            </w:r>
            <w:r>
              <w:rPr>
                <w:rFonts w:hint="eastAsia" w:ascii="宋体" w:hAnsi="宋体" w:cs="宋体"/>
                <w:kern w:val="0"/>
                <w:sz w:val="20"/>
                <w:highlight w:val="none"/>
                <w:lang w:val="en-US" w:eastAsia="zh-CN"/>
              </w:rPr>
              <w:t>供</w:t>
            </w:r>
            <w:r>
              <w:rPr>
                <w:rFonts w:hint="eastAsia" w:ascii="宋体" w:hAnsi="宋体"/>
                <w:bCs/>
                <w:sz w:val="21"/>
                <w:szCs w:val="21"/>
                <w:highlight w:val="none"/>
                <w:lang w:val="en-US" w:eastAsia="zh-CN"/>
              </w:rPr>
              <w:t>销部、技术部、综合办</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百恒石油装备有限公司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百恒石油装备有限公司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10月17-18日</w:t>
      </w:r>
      <w:r>
        <w:rPr>
          <w:rFonts w:ascii="Times New Roman" w:hAnsi="Times New Roman" w:cs="Times New Roman"/>
          <w:bCs/>
          <w:kern w:val="0"/>
          <w:szCs w:val="21"/>
          <w:highlight w:val="none"/>
        </w:rPr>
        <w:t>，组织了公司测量管理体系内部审核。</w:t>
      </w:r>
      <w:r>
        <w:rPr>
          <w:rFonts w:hint="eastAsia" w:ascii="Times New Roman" w:hAnsi="Times New Roman" w:cs="Times New Roman"/>
          <w:bCs/>
          <w:kern w:val="0"/>
          <w:szCs w:val="21"/>
          <w:highlight w:val="none"/>
          <w:lang w:eastAsia="zh-CN"/>
        </w:rPr>
        <w:t>刘元华</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11</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刘元华</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bookmarkStart w:id="3" w:name="审核范围"/>
      <w:r>
        <w:rPr>
          <w:rFonts w:hint="eastAsia" w:ascii="宋体" w:hAnsi="宋体"/>
          <w:szCs w:val="21"/>
        </w:rPr>
        <w:t>螺旋泵驱动装置，高转差电动机，（需资质的除外）仪器仪表的加工。（原油电磁防蜡降粘器，油井变参多功能分析仪，注水井直读室测试仪，直读式验封仪，可调水嘴，配电网故障自动检测系统，宽频高压脉冲大功率升压装置，变频脉冲原油脱水率单元，限弧式组合极），无游梁式抽油机，抽油机多功能调速控制配电箱（有效CCC范围内）的生产。数字化油田系列产品的硬件及软件、基于WIA-PA技术的无线产品的设计、组装、销售、数字化油田硬件及软件技术服务;撬装式可移动污油泥、污水处理技术服务；水处理设备，环保设备制造；机械设备专业清洗服务；撬装式污油泥无害化处理设备及技术服务</w:t>
      </w:r>
      <w:bookmarkEnd w:id="3"/>
      <w:r>
        <w:rPr>
          <w:rFonts w:hint="eastAsia" w:ascii="宋体" w:hAnsi="宋体"/>
          <w:szCs w:val="21"/>
        </w:rPr>
        <w:t>等</w:t>
      </w:r>
      <w:r>
        <w:rPr>
          <w:rFonts w:hint="eastAsia" w:ascii="宋体" w:hAnsi="宋体"/>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Theme="minorEastAsia" w:hAnsiTheme="minorEastAsia"/>
          <w:bCs/>
          <w:szCs w:val="21"/>
          <w:lang w:eastAsia="zh-CN"/>
        </w:rPr>
        <w:t>综合调质装置搅拌器轴底座安装孔直径</w:t>
      </w:r>
      <w:r>
        <w:rPr>
          <w:rFonts w:hint="eastAsia" w:ascii="宋体" w:hAnsi="宋体"/>
          <w:bCs/>
          <w:szCs w:val="21"/>
          <w:lang w:val="en-US" w:eastAsia="zh-CN"/>
        </w:rPr>
        <w:t>测量测量</w:t>
      </w:r>
      <w:r>
        <w:rPr>
          <w:rFonts w:hint="eastAsia" w:ascii="宋体" w:hAnsi="宋体" w:cs="宋体"/>
          <w:kern w:val="0"/>
          <w:szCs w:val="21"/>
          <w:shd w:val="clear" w:color="auto" w:fill="auto"/>
          <w:lang w:val="en-US" w:eastAsia="zh-CN"/>
        </w:rPr>
        <w:t>控制等9个测量过程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39</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Theme="minorEastAsia" w:hAnsiTheme="minorEastAsia"/>
          <w:bCs/>
          <w:szCs w:val="21"/>
          <w:lang w:eastAsia="zh-CN"/>
        </w:rPr>
        <w:t>综合调质装置搅拌器轴底座安装孔直径</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Theme="minorEastAsia" w:hAnsiTheme="minorEastAsia"/>
          <w:bCs/>
          <w:szCs w:val="21"/>
          <w:lang w:eastAsia="zh-CN"/>
        </w:rPr>
        <w:t>综合调质装置搅拌器轴底座安装孔直径测量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heme="minorEastAsia" w:hAnsiTheme="minorEastAsia"/>
          <w:bCs/>
          <w:szCs w:val="21"/>
          <w:lang w:eastAsia="zh-CN"/>
        </w:rPr>
        <w:t>综合调质装置搅拌器轴底座安装孔直径测量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heme="minorEastAsia" w:hAnsiTheme="minorEastAsia"/>
          <w:bCs/>
          <w:szCs w:val="21"/>
          <w:lang w:eastAsia="zh-CN"/>
        </w:rPr>
        <w:t>综合调质装置搅拌器轴底座安装孔直径测量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监督</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cs="宋体"/>
          <w:kern w:val="0"/>
          <w:szCs w:val="21"/>
          <w:lang w:val="en-US" w:eastAsia="zh-CN"/>
        </w:rPr>
        <w:t>供销部</w:t>
      </w:r>
      <w:r>
        <w:rPr>
          <w:rFonts w:hint="eastAsia" w:ascii="宋体" w:hAnsi="宋体" w:cs="宋体"/>
          <w:b w:val="0"/>
          <w:bCs w:val="0"/>
          <w:color w:val="auto"/>
          <w:kern w:val="0"/>
          <w:sz w:val="21"/>
          <w:szCs w:val="21"/>
          <w:lang w:eastAsia="zh-CN"/>
        </w:rPr>
        <w:t>未提供</w:t>
      </w:r>
      <w:r>
        <w:rPr>
          <w:rFonts w:hint="eastAsia" w:ascii="宋体" w:hAnsi="宋体" w:cs="宋体"/>
          <w:b w:val="0"/>
          <w:bCs w:val="0"/>
          <w:color w:val="auto"/>
          <w:kern w:val="0"/>
          <w:sz w:val="21"/>
          <w:szCs w:val="21"/>
        </w:rPr>
        <w:t>顾客满意度</w:t>
      </w:r>
      <w:r>
        <w:rPr>
          <w:rFonts w:hint="eastAsia" w:ascii="宋体" w:hAnsi="宋体" w:cs="宋体"/>
          <w:b w:val="0"/>
          <w:bCs w:val="0"/>
          <w:color w:val="auto"/>
          <w:kern w:val="0"/>
          <w:sz w:val="21"/>
          <w:szCs w:val="21"/>
          <w:lang w:eastAsia="zh-CN"/>
        </w:rPr>
        <w:t>回访记录</w:t>
      </w:r>
      <w:r>
        <w:rPr>
          <w:rFonts w:hint="eastAsia"/>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上次监督审核后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企业营业执照变更（经营范围增加2020.7.13）、认证产品、组织机构等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color w:val="auto"/>
          <w:kern w:val="0"/>
          <w:sz w:val="21"/>
          <w:szCs w:val="21"/>
          <w:highlight w:val="none"/>
          <w:lang w:val="en-US" w:eastAsia="zh-CN"/>
        </w:rPr>
        <w:t>10.1</w:t>
      </w:r>
      <w:r>
        <w:rPr>
          <w:rFonts w:hint="eastAsia" w:ascii="宋体" w:hAnsi="宋体" w:cs="宋体"/>
          <w:kern w:val="0"/>
          <w:szCs w:val="21"/>
          <w:lang w:eastAsia="zh-CN"/>
        </w:rPr>
        <w:t>现场审核发现一台工频耐压仪，型号：</w:t>
      </w:r>
      <w:r>
        <w:rPr>
          <w:rFonts w:hint="eastAsia" w:ascii="宋体" w:hAnsi="宋体" w:cs="宋体"/>
          <w:kern w:val="0"/>
          <w:szCs w:val="21"/>
          <w:lang w:val="en-US" w:eastAsia="zh-CN"/>
        </w:rPr>
        <w:t>CS2670AX,编号：20190529</w:t>
      </w:r>
      <w:r>
        <w:rPr>
          <w:rFonts w:hint="eastAsia" w:ascii="宋体" w:hAnsi="宋体" w:cs="宋体"/>
          <w:kern w:val="0"/>
          <w:szCs w:val="21"/>
          <w:lang w:eastAsia="zh-CN"/>
        </w:rPr>
        <w:t>。校准日期：</w:t>
      </w:r>
      <w:r>
        <w:rPr>
          <w:rFonts w:hint="eastAsia" w:ascii="宋体" w:hAnsi="宋体" w:cs="宋体"/>
          <w:kern w:val="0"/>
          <w:szCs w:val="21"/>
          <w:lang w:val="en-US" w:eastAsia="zh-CN"/>
        </w:rPr>
        <w:t>2020.08.27.未例如企业测量设备管理台账中。</w:t>
      </w:r>
      <w:r>
        <w:rPr>
          <w:rFonts w:hint="eastAsia" w:ascii="宋体" w:hAnsi="宋体" w:cs="宋体"/>
          <w:kern w:val="0"/>
          <w:szCs w:val="21"/>
        </w:rPr>
        <w:t xml:space="preserve">不符合GB/T19022-2003标准中 </w:t>
      </w:r>
      <w:r>
        <w:rPr>
          <w:rFonts w:hint="eastAsia" w:ascii="宋体" w:hAnsi="宋体" w:cs="宋体"/>
          <w:kern w:val="0"/>
          <w:szCs w:val="21"/>
          <w:lang w:val="en-US" w:eastAsia="zh-CN"/>
        </w:rPr>
        <w:t>6</w:t>
      </w: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.1条款“</w:t>
      </w:r>
      <w:r>
        <w:rPr>
          <w:rFonts w:hint="eastAsia" w:ascii="宋体"/>
        </w:rPr>
        <w:t>用于监视和记录影响量的测量设备应包括在测量管理体系内</w:t>
      </w:r>
      <w:r>
        <w:rPr>
          <w:rFonts w:hint="eastAsia" w:ascii="宋体" w:hAnsi="宋体" w:cs="宋体"/>
          <w:kern w:val="0"/>
          <w:szCs w:val="21"/>
        </w:rPr>
        <w:t>。”的规定要求</w:t>
      </w:r>
      <w:r>
        <w:rPr>
          <w:rFonts w:hint="eastAsia" w:ascii="宋体" w:hAnsi="宋体" w:cs="宋体"/>
          <w:kern w:val="0"/>
          <w:szCs w:val="21"/>
          <w:lang w:eastAsia="zh-CN"/>
        </w:rPr>
        <w:t>。</w:t>
      </w: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百恒石油装备有限公司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2019年11月至2020年10月</w:t>
      </w:r>
      <w:r>
        <w:rPr>
          <w:rFonts w:hint="eastAsia" w:ascii="宋体" w:hAnsi="宋体" w:cs="宋体"/>
          <w:bCs/>
          <w:kern w:val="0"/>
          <w:szCs w:val="21"/>
        </w:rPr>
        <w:t>耗能为</w:t>
      </w:r>
      <w:r>
        <w:rPr>
          <w:rFonts w:hint="eastAsia" w:ascii="宋体" w:hAnsi="宋体" w:cs="宋体"/>
          <w:bCs/>
          <w:kern w:val="0"/>
          <w:szCs w:val="21"/>
          <w:lang w:val="en-US" w:eastAsia="zh-CN"/>
        </w:rPr>
        <w:t>12.6</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bookmarkStart w:id="5" w:name="_GoBack"/>
      <w:bookmarkEnd w:id="5"/>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20</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百恒石油装备有限公司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百恒石油装备有限公司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ind w:firstLine="211" w:firstLineChars="100"/>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2020.11.20</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211992"/>
    <w:rsid w:val="01785DCC"/>
    <w:rsid w:val="02B05F36"/>
    <w:rsid w:val="02B06A5F"/>
    <w:rsid w:val="04323248"/>
    <w:rsid w:val="04553462"/>
    <w:rsid w:val="057231CB"/>
    <w:rsid w:val="060A2C1F"/>
    <w:rsid w:val="06224E0B"/>
    <w:rsid w:val="06255583"/>
    <w:rsid w:val="069E5AB7"/>
    <w:rsid w:val="07CB0C61"/>
    <w:rsid w:val="08DD17BB"/>
    <w:rsid w:val="0AAC43F2"/>
    <w:rsid w:val="0B6A287A"/>
    <w:rsid w:val="0B9C159A"/>
    <w:rsid w:val="0C4A062D"/>
    <w:rsid w:val="0CD419F2"/>
    <w:rsid w:val="0CF4221B"/>
    <w:rsid w:val="0D335818"/>
    <w:rsid w:val="0DEE2089"/>
    <w:rsid w:val="0DFC7968"/>
    <w:rsid w:val="0E553E18"/>
    <w:rsid w:val="0E8A307E"/>
    <w:rsid w:val="0EA86466"/>
    <w:rsid w:val="10514274"/>
    <w:rsid w:val="106725C6"/>
    <w:rsid w:val="10CC502F"/>
    <w:rsid w:val="10F52E13"/>
    <w:rsid w:val="110C45FB"/>
    <w:rsid w:val="114A28C9"/>
    <w:rsid w:val="11550A66"/>
    <w:rsid w:val="1193589A"/>
    <w:rsid w:val="12114279"/>
    <w:rsid w:val="12452EC7"/>
    <w:rsid w:val="13B07256"/>
    <w:rsid w:val="147A5742"/>
    <w:rsid w:val="14AF6172"/>
    <w:rsid w:val="14C22162"/>
    <w:rsid w:val="14D86AE0"/>
    <w:rsid w:val="15217ADC"/>
    <w:rsid w:val="15501560"/>
    <w:rsid w:val="158D185E"/>
    <w:rsid w:val="171422D8"/>
    <w:rsid w:val="17E86A55"/>
    <w:rsid w:val="17F03BD5"/>
    <w:rsid w:val="18491313"/>
    <w:rsid w:val="191875B9"/>
    <w:rsid w:val="1A9066D8"/>
    <w:rsid w:val="1ACB2E07"/>
    <w:rsid w:val="1B120764"/>
    <w:rsid w:val="1B6E0BCC"/>
    <w:rsid w:val="1D666DD5"/>
    <w:rsid w:val="1DB528F4"/>
    <w:rsid w:val="1DF611A6"/>
    <w:rsid w:val="1E8D2076"/>
    <w:rsid w:val="1F96490F"/>
    <w:rsid w:val="1FD87C5A"/>
    <w:rsid w:val="1FDD1A05"/>
    <w:rsid w:val="202E5BEC"/>
    <w:rsid w:val="205A621D"/>
    <w:rsid w:val="214C10C3"/>
    <w:rsid w:val="221F4A52"/>
    <w:rsid w:val="22D6310F"/>
    <w:rsid w:val="234C1DE6"/>
    <w:rsid w:val="236837F1"/>
    <w:rsid w:val="23CD5065"/>
    <w:rsid w:val="25827AE2"/>
    <w:rsid w:val="259D4245"/>
    <w:rsid w:val="26D61E0E"/>
    <w:rsid w:val="27E10AA0"/>
    <w:rsid w:val="2846554F"/>
    <w:rsid w:val="28F16BE3"/>
    <w:rsid w:val="290D70F9"/>
    <w:rsid w:val="294A7B5F"/>
    <w:rsid w:val="29EC5CDB"/>
    <w:rsid w:val="2AA75769"/>
    <w:rsid w:val="2CAB432C"/>
    <w:rsid w:val="2CE24CD7"/>
    <w:rsid w:val="2DD74E91"/>
    <w:rsid w:val="2DF9155B"/>
    <w:rsid w:val="2E000AD3"/>
    <w:rsid w:val="2E92798F"/>
    <w:rsid w:val="2E94229B"/>
    <w:rsid w:val="2EE23BD1"/>
    <w:rsid w:val="2F915445"/>
    <w:rsid w:val="30DE05E1"/>
    <w:rsid w:val="33573808"/>
    <w:rsid w:val="33947CD2"/>
    <w:rsid w:val="347F6559"/>
    <w:rsid w:val="34D4260D"/>
    <w:rsid w:val="352330CF"/>
    <w:rsid w:val="367709AC"/>
    <w:rsid w:val="36823C9C"/>
    <w:rsid w:val="37596989"/>
    <w:rsid w:val="37C53059"/>
    <w:rsid w:val="38505CE2"/>
    <w:rsid w:val="38E460E2"/>
    <w:rsid w:val="39150662"/>
    <w:rsid w:val="39364992"/>
    <w:rsid w:val="39C13B67"/>
    <w:rsid w:val="3A8F40F6"/>
    <w:rsid w:val="3B6C0871"/>
    <w:rsid w:val="3D0679DB"/>
    <w:rsid w:val="3D8C65CA"/>
    <w:rsid w:val="3DE979E9"/>
    <w:rsid w:val="3FCA0710"/>
    <w:rsid w:val="3FD079A4"/>
    <w:rsid w:val="410611B0"/>
    <w:rsid w:val="4119198D"/>
    <w:rsid w:val="415E78AA"/>
    <w:rsid w:val="42020F0F"/>
    <w:rsid w:val="42C727C5"/>
    <w:rsid w:val="42F654CE"/>
    <w:rsid w:val="43584738"/>
    <w:rsid w:val="459704CD"/>
    <w:rsid w:val="46425F4D"/>
    <w:rsid w:val="46D74133"/>
    <w:rsid w:val="46FF1A20"/>
    <w:rsid w:val="478068A7"/>
    <w:rsid w:val="49B409BF"/>
    <w:rsid w:val="4A955404"/>
    <w:rsid w:val="4B646F95"/>
    <w:rsid w:val="4BCF07F3"/>
    <w:rsid w:val="4CD650EE"/>
    <w:rsid w:val="4CDC1C1E"/>
    <w:rsid w:val="4D3B07E4"/>
    <w:rsid w:val="4DF83EDC"/>
    <w:rsid w:val="4E2C127C"/>
    <w:rsid w:val="4F4C158E"/>
    <w:rsid w:val="4F966158"/>
    <w:rsid w:val="508A3BF7"/>
    <w:rsid w:val="50975894"/>
    <w:rsid w:val="50AB3606"/>
    <w:rsid w:val="52450263"/>
    <w:rsid w:val="52CF4CBD"/>
    <w:rsid w:val="53DE4404"/>
    <w:rsid w:val="546D7FA6"/>
    <w:rsid w:val="55C948E7"/>
    <w:rsid w:val="560936BF"/>
    <w:rsid w:val="562B67C6"/>
    <w:rsid w:val="56BD4064"/>
    <w:rsid w:val="57B34F29"/>
    <w:rsid w:val="584066CD"/>
    <w:rsid w:val="58D722A1"/>
    <w:rsid w:val="59EE788F"/>
    <w:rsid w:val="5A335F8D"/>
    <w:rsid w:val="5A4E23BB"/>
    <w:rsid w:val="5AEA42C2"/>
    <w:rsid w:val="5B655F9E"/>
    <w:rsid w:val="5C132391"/>
    <w:rsid w:val="5D595F20"/>
    <w:rsid w:val="5D954B61"/>
    <w:rsid w:val="5DA46180"/>
    <w:rsid w:val="601415D0"/>
    <w:rsid w:val="60C64E46"/>
    <w:rsid w:val="62BA3AD0"/>
    <w:rsid w:val="639C457E"/>
    <w:rsid w:val="63C16F8E"/>
    <w:rsid w:val="63E11222"/>
    <w:rsid w:val="63FC6CAF"/>
    <w:rsid w:val="653A5005"/>
    <w:rsid w:val="654B5DFD"/>
    <w:rsid w:val="65A40DA8"/>
    <w:rsid w:val="65C01B44"/>
    <w:rsid w:val="66DC4CAC"/>
    <w:rsid w:val="6B9A7111"/>
    <w:rsid w:val="6C7A172C"/>
    <w:rsid w:val="6CC32C31"/>
    <w:rsid w:val="6F264392"/>
    <w:rsid w:val="6F2A687E"/>
    <w:rsid w:val="6FCF21C7"/>
    <w:rsid w:val="701E08DD"/>
    <w:rsid w:val="729F40AE"/>
    <w:rsid w:val="73877C76"/>
    <w:rsid w:val="738E408B"/>
    <w:rsid w:val="73934394"/>
    <w:rsid w:val="7405196C"/>
    <w:rsid w:val="74062830"/>
    <w:rsid w:val="74243E8A"/>
    <w:rsid w:val="7567525C"/>
    <w:rsid w:val="75E04B0D"/>
    <w:rsid w:val="76466521"/>
    <w:rsid w:val="77555FF3"/>
    <w:rsid w:val="77B771D7"/>
    <w:rsid w:val="784E5A3C"/>
    <w:rsid w:val="788E567B"/>
    <w:rsid w:val="7930537A"/>
    <w:rsid w:val="7AE25BD9"/>
    <w:rsid w:val="7CB55D5F"/>
    <w:rsid w:val="7D9D621C"/>
    <w:rsid w:val="7EA333B8"/>
    <w:rsid w:val="7EEE16D3"/>
    <w:rsid w:val="7FE37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4</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2020-11-20T04:47:13Z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