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黑龙江省荣泽石油设备有限公司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091</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091</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color w:val="000000"/>
                <w:szCs w:val="21"/>
              </w:rPr>
              <w:t>黑龙江省荣泽石油设备有限公司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梁丽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ISC-2016-0083</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四</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ascii="宋体" w:cs="宋体"/>
                <w:color w:val="auto"/>
                <w:kern w:val="0"/>
                <w:szCs w:val="21"/>
                <w:highlight w:val="none"/>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9-10</w:t>
            </w:r>
            <w:r>
              <w:rPr>
                <w:rFonts w:hint="eastAsia" w:ascii="宋体" w:hAnsi="宋体" w:cs="宋体"/>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sz w:val="21"/>
                <w:szCs w:val="21"/>
                <w:lang w:val="en-US" w:eastAsia="zh-CN"/>
              </w:rPr>
              <w:t>质量部、生产部</w:t>
            </w:r>
            <w:r>
              <w:rPr>
                <w:rFonts w:hint="eastAsia" w:ascii="宋体" w:hAnsi="宋体" w:cs="宋体"/>
                <w:kern w:val="0"/>
                <w:sz w:val="20"/>
                <w:lang w:val="en-US" w:eastAsia="zh-CN"/>
              </w:rPr>
              <w:t>、</w:t>
            </w:r>
            <w:r>
              <w:rPr>
                <w:rFonts w:hint="eastAsia" w:ascii="宋体" w:hAnsi="宋体"/>
                <w:bCs/>
                <w:sz w:val="21"/>
                <w:szCs w:val="21"/>
                <w:lang w:val="en-US" w:eastAsia="zh-CN"/>
              </w:rPr>
              <w:t>销售部、技术部、人力资源部</w:t>
            </w:r>
          </w:p>
        </w:tc>
      </w:tr>
    </w:tbl>
    <w:p>
      <w:pPr>
        <w:widowControl/>
        <w:spacing w:line="360" w:lineRule="auto"/>
        <w:rPr>
          <w:rFonts w:ascii="Times New Roman" w:hAnsi="Times New Roman" w:cs="Times New Roman"/>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荣泽石黑龙江省油设备有限公司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黑龙江省荣泽石油设备有限公司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10月14-15</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梁丽</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梁丽</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rFonts w:hint="eastAsia"/>
        </w:rPr>
        <w:t>井口电参数产量监测仪，间抽井控制仪，配电网故障自动检测系统，原油电磁防蜡降粘器的组装加工（需许可资质的除外）。撬装式污油泥无害化处理设备及技术服务；水处理设备，环保设备制造；污水、污泥处理技术服务；机械设备专业清洗服务</w:t>
      </w:r>
      <w:r>
        <w:rPr>
          <w:rFonts w:hint="eastAsia"/>
          <w:lang w:eastAsia="zh-CN"/>
        </w:rPr>
        <w:t>的</w:t>
      </w:r>
      <w:r>
        <w:rPr>
          <w:rFonts w:hint="eastAsia" w:ascii="宋体" w:hAnsi="宋体"/>
          <w:szCs w:val="21"/>
        </w:rPr>
        <w:t>生产及服务</w:t>
      </w:r>
      <w:r>
        <w:rPr>
          <w:rFonts w:hint="eastAsia" w:ascii="宋体" w:hAnsi="宋体"/>
          <w:szCs w:val="21"/>
          <w:lang w:eastAsia="zh-CN"/>
        </w:rPr>
        <w:t>；新增加认证产品：</w:t>
      </w:r>
      <w:r>
        <w:rPr>
          <w:rFonts w:hint="eastAsia" w:ascii="宋体" w:hAnsi="宋体"/>
          <w:bCs/>
          <w:szCs w:val="21"/>
          <w:lang w:eastAsia="zh-CN"/>
        </w:rPr>
        <w:t>抽油机用配电箱（资质范围内）的生产，配电柜的生产，数字化油田系列产品的设计、组装、销售、硬件及软件技术服务</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bCs/>
          <w:szCs w:val="21"/>
          <w:lang w:val="en-US" w:eastAsia="zh-CN"/>
        </w:rPr>
        <w:t>配电箱接地保护连续</w:t>
      </w:r>
      <w:r>
        <w:rPr>
          <w:rFonts w:hint="eastAsia" w:ascii="Times New Roman" w:hAnsi="Times New Roman"/>
          <w:sz w:val="21"/>
          <w:szCs w:val="21"/>
        </w:rPr>
        <w:t>测量</w:t>
      </w:r>
      <w:r>
        <w:rPr>
          <w:rFonts w:hint="eastAsia" w:ascii="Times New Roman" w:hAnsi="Times New Roman"/>
          <w:sz w:val="21"/>
          <w:szCs w:val="21"/>
          <w:lang w:eastAsia="zh-CN"/>
        </w:rPr>
        <w:t>的</w:t>
      </w:r>
      <w:r>
        <w:rPr>
          <w:rFonts w:hint="eastAsia" w:ascii="宋体" w:hAnsi="宋体" w:cs="宋体"/>
          <w:kern w:val="0"/>
          <w:szCs w:val="21"/>
          <w:shd w:val="clear" w:color="auto" w:fill="auto"/>
        </w:rPr>
        <w:t>测量过程</w:t>
      </w:r>
      <w:r>
        <w:rPr>
          <w:rFonts w:hint="eastAsia" w:ascii="宋体" w:hAnsi="宋体" w:cs="宋体"/>
          <w:kern w:val="0"/>
          <w:szCs w:val="21"/>
          <w:lang w:eastAsia="zh-CN"/>
        </w:rPr>
        <w:t>、</w:t>
      </w:r>
      <w:r>
        <w:rPr>
          <w:rFonts w:hint="eastAsia" w:ascii="宋体" w:hAnsi="宋体" w:cs="宋体"/>
          <w:b w:val="0"/>
          <w:bCs w:val="0"/>
          <w:kern w:val="0"/>
          <w:sz w:val="21"/>
          <w:szCs w:val="21"/>
          <w:shd w:val="clear" w:color="auto" w:fill="auto"/>
        </w:rPr>
        <w:t>气浮</w:t>
      </w:r>
      <w:r>
        <w:rPr>
          <w:rFonts w:hint="eastAsia" w:ascii="宋体" w:hAnsi="宋体" w:cs="宋体"/>
          <w:b w:val="0"/>
          <w:bCs w:val="0"/>
          <w:kern w:val="0"/>
          <w:sz w:val="21"/>
          <w:szCs w:val="21"/>
          <w:shd w:val="clear" w:color="auto" w:fill="auto"/>
          <w:lang w:eastAsia="zh-CN"/>
        </w:rPr>
        <w:t>装置进水口螺栓硬度；</w:t>
      </w:r>
      <w:r>
        <w:rPr>
          <w:rFonts w:hint="eastAsia" w:ascii="宋体" w:hAnsi="宋体" w:cs="宋体"/>
          <w:b w:val="0"/>
          <w:bCs w:val="0"/>
          <w:kern w:val="0"/>
          <w:sz w:val="21"/>
          <w:szCs w:val="21"/>
          <w:shd w:val="clear" w:color="auto" w:fill="auto"/>
        </w:rPr>
        <w:t>气浮</w:t>
      </w:r>
      <w:r>
        <w:rPr>
          <w:rFonts w:hint="eastAsia" w:ascii="宋体" w:hAnsi="宋体" w:cs="宋体"/>
          <w:b w:val="0"/>
          <w:bCs w:val="0"/>
          <w:kern w:val="0"/>
          <w:sz w:val="21"/>
          <w:szCs w:val="21"/>
          <w:shd w:val="clear" w:color="auto" w:fill="auto"/>
          <w:lang w:eastAsia="zh-CN"/>
        </w:rPr>
        <w:t>装置主体漆膜厚</w:t>
      </w:r>
      <w:r>
        <w:rPr>
          <w:rFonts w:hint="eastAsia"/>
          <w:b w:val="0"/>
          <w:bCs w:val="0"/>
          <w:sz w:val="21"/>
          <w:szCs w:val="21"/>
          <w:lang w:eastAsia="zh-CN"/>
        </w:rPr>
        <w:t>检测</w:t>
      </w:r>
      <w:r>
        <w:rPr>
          <w:rFonts w:hint="eastAsia" w:ascii="宋体" w:hAnsi="宋体" w:cs="宋体"/>
          <w:kern w:val="0"/>
          <w:szCs w:val="21"/>
          <w:shd w:val="clear" w:color="auto" w:fill="auto"/>
          <w:lang w:val="en-US" w:eastAsia="zh-CN"/>
        </w:rPr>
        <w:t>测量过程控制等5个关键测量过程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bCs/>
          <w:szCs w:val="21"/>
          <w:lang w:val="en-US" w:eastAsia="zh-CN"/>
        </w:rPr>
        <w:t>配电箱接地保护连续</w:t>
      </w:r>
      <w:r>
        <w:rPr>
          <w:rFonts w:hint="eastAsia" w:ascii="Times New Roman" w:hAnsi="Times New Roman"/>
          <w:sz w:val="21"/>
          <w:szCs w:val="21"/>
        </w:rPr>
        <w:t>测量</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宋体" w:hAnsi="宋体"/>
          <w:bCs/>
          <w:szCs w:val="21"/>
          <w:lang w:val="en-US" w:eastAsia="zh-CN"/>
        </w:rPr>
        <w:t>配电箱接地保护连续</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bCs/>
          <w:szCs w:val="21"/>
          <w:lang w:val="en-US" w:eastAsia="zh-CN"/>
        </w:rPr>
        <w:t>配电箱接地保护连续</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bCs/>
          <w:szCs w:val="21"/>
          <w:lang w:val="en-US" w:eastAsia="zh-CN"/>
        </w:rPr>
        <w:t>配电箱接地保护连续</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bCs/>
          <w:sz w:val="21"/>
          <w:szCs w:val="21"/>
          <w:highlight w:val="none"/>
          <w:lang w:val="en-US" w:eastAsia="zh-CN"/>
        </w:rPr>
        <w:t>2019.7.29</w:t>
      </w:r>
      <w:r>
        <w:rPr>
          <w:rFonts w:hint="eastAsia" w:ascii="宋体" w:hAnsi="宋体"/>
          <w:bCs/>
          <w:sz w:val="21"/>
          <w:szCs w:val="21"/>
          <w:highlight w:val="none"/>
          <w:lang w:eastAsia="zh-CN"/>
        </w:rPr>
        <w:t>内审检查表，审核条款</w:t>
      </w:r>
      <w:r>
        <w:rPr>
          <w:rFonts w:hint="eastAsia" w:ascii="宋体" w:hAnsi="宋体"/>
          <w:bCs/>
          <w:sz w:val="21"/>
          <w:szCs w:val="21"/>
          <w:highlight w:val="none"/>
          <w:lang w:val="en-US" w:eastAsia="zh-CN"/>
        </w:rPr>
        <w:t>6.4外部供方，审核内容描述清楚，审核记录描述不完整。”</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6</w:t>
      </w:r>
      <w:bookmarkStart w:id="4" w:name="_GoBack"/>
      <w:bookmarkEnd w:id="4"/>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numPr>
          <w:ilvl w:val="0"/>
          <w:numId w:val="1"/>
        </w:numPr>
        <w:spacing w:line="360" w:lineRule="auto"/>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rPr>
        <w:t>对企业组织任何变更的审核：</w:t>
      </w:r>
    </w:p>
    <w:p>
      <w:pPr>
        <w:widowControl/>
        <w:numPr>
          <w:ilvl w:val="0"/>
          <w:numId w:val="0"/>
        </w:numPr>
        <w:spacing w:line="360" w:lineRule="auto"/>
        <w:jc w:val="left"/>
        <w:rPr>
          <w:rFonts w:hint="eastAsia" w:ascii="宋体" w:hAnsi="宋体"/>
          <w:bCs/>
          <w:szCs w:val="21"/>
        </w:rPr>
      </w:pPr>
      <w:r>
        <w:rPr>
          <w:rFonts w:hint="eastAsia" w:ascii="宋体" w:hAnsi="宋体"/>
          <w:bCs/>
          <w:szCs w:val="21"/>
          <w:lang w:val="en-US" w:eastAsia="zh-CN"/>
        </w:rPr>
        <w:t xml:space="preserve">  企业</w:t>
      </w:r>
      <w:r>
        <w:rPr>
          <w:rFonts w:hint="eastAsia" w:ascii="宋体" w:hAnsi="宋体"/>
          <w:bCs/>
          <w:szCs w:val="21"/>
        </w:rPr>
        <w:t>的资质情况</w:t>
      </w:r>
      <w:r>
        <w:rPr>
          <w:rFonts w:hint="eastAsia" w:ascii="宋体" w:hAnsi="宋体"/>
          <w:bCs/>
          <w:szCs w:val="21"/>
          <w:lang w:eastAsia="zh-CN"/>
        </w:rPr>
        <w:t>未</w:t>
      </w:r>
      <w:r>
        <w:rPr>
          <w:rFonts w:hint="eastAsia" w:ascii="宋体" w:hAnsi="宋体"/>
          <w:bCs/>
          <w:szCs w:val="21"/>
        </w:rPr>
        <w:t>发生变化，组织</w:t>
      </w:r>
      <w:r>
        <w:rPr>
          <w:rFonts w:hint="eastAsia" w:ascii="宋体" w:hAnsi="宋体"/>
          <w:bCs/>
          <w:szCs w:val="21"/>
          <w:lang w:eastAsia="zh-CN"/>
        </w:rPr>
        <w:t>机构没有变更</w:t>
      </w:r>
      <w:r>
        <w:rPr>
          <w:rFonts w:hint="eastAsia" w:ascii="宋体" w:hAnsi="宋体"/>
          <w:bCs/>
          <w:szCs w:val="21"/>
          <w:lang w:val="en-US" w:eastAsia="zh-CN"/>
        </w:rPr>
        <w:t>；总经理任命</w:t>
      </w:r>
      <w:r>
        <w:rPr>
          <w:rFonts w:hint="eastAsia" w:ascii="宋体" w:hAnsi="宋体"/>
          <w:bCs/>
          <w:szCs w:val="21"/>
          <w:lang w:eastAsia="zh-CN"/>
        </w:rPr>
        <w:t>梁丽为管理者代表</w:t>
      </w:r>
      <w:r>
        <w:rPr>
          <w:rFonts w:hint="eastAsia" w:ascii="宋体" w:hAnsi="宋体"/>
          <w:bCs/>
          <w:szCs w:val="21"/>
        </w:rPr>
        <w:t>。</w:t>
      </w:r>
      <w:r>
        <w:rPr>
          <w:rFonts w:hint="eastAsia" w:ascii="宋体" w:hAnsi="宋体"/>
          <w:bCs/>
          <w:szCs w:val="21"/>
          <w:lang w:eastAsia="zh-CN"/>
        </w:rPr>
        <w:t>认证产品增加抽油机用配电箱（资质范围内）的生产，配电柜的生产，数字化油田系列产品的设计、组装、销售、硬件及软件技术服务。</w:t>
      </w:r>
      <w:r>
        <w:rPr>
          <w:rFonts w:hint="eastAsia" w:ascii="宋体" w:hAnsi="宋体"/>
          <w:color w:val="auto"/>
          <w:szCs w:val="21"/>
        </w:rPr>
        <w:t>生产</w:t>
      </w:r>
      <w:r>
        <w:rPr>
          <w:rFonts w:hint="eastAsia" w:ascii="宋体" w:hAnsi="宋体"/>
          <w:bCs/>
          <w:szCs w:val="21"/>
          <w:lang w:eastAsia="zh-CN"/>
        </w:rPr>
        <w:t>依据标准</w:t>
      </w:r>
      <w:r>
        <w:rPr>
          <w:rFonts w:hint="eastAsia" w:ascii="宋体" w:hAnsi="宋体"/>
          <w:bCs/>
          <w:szCs w:val="21"/>
          <w:lang w:val="en-US" w:eastAsia="zh-CN"/>
        </w:rPr>
        <w:t>GB/T7251.12-2013《低压成套开关设备和控制设备 第2部分：成套电力开关和控制设备》，标准现行有效。符合标准要求。对新增加产品抽油机用配电箱接地保护连续测量的关键测量过程,</w:t>
      </w:r>
      <w:r>
        <w:rPr>
          <w:rFonts w:hint="eastAsia" w:ascii="宋体" w:hAnsi="宋体"/>
          <w:bCs/>
          <w:szCs w:val="21"/>
          <w:lang w:eastAsia="zh-CN"/>
        </w:rPr>
        <w:t>进行现场确认，</w:t>
      </w:r>
      <w:r>
        <w:rPr>
          <w:rFonts w:hint="eastAsia" w:ascii="宋体" w:hAnsi="宋体"/>
          <w:bCs/>
          <w:szCs w:val="21"/>
          <w:lang w:val="en-US" w:eastAsia="zh-CN"/>
        </w:rPr>
        <w:t>生产过程中所用测量设备在检定周期内，见测量设备朔源检查表，所增项的生产过程，原材料检验，加工过程检验，成品出厂检验等均已纳入测量管理体系中进行管理。重要关键测量过程为关键测量配电箱接地保护连续测量过程，</w:t>
      </w:r>
      <w:r>
        <w:rPr>
          <w:rFonts w:hint="eastAsia" w:ascii="宋体" w:hAnsi="宋体"/>
          <w:bCs/>
          <w:szCs w:val="21"/>
        </w:rPr>
        <w:t>计量要求的导出</w:t>
      </w:r>
      <w:r>
        <w:rPr>
          <w:rFonts w:hint="eastAsia" w:ascii="宋体" w:hAnsi="宋体"/>
          <w:bCs/>
          <w:szCs w:val="21"/>
          <w:lang w:eastAsia="zh-CN"/>
        </w:rPr>
        <w:t>，</w:t>
      </w:r>
      <w:r>
        <w:rPr>
          <w:rFonts w:hint="eastAsia" w:ascii="宋体" w:hAnsi="宋体"/>
          <w:bCs/>
          <w:szCs w:val="21"/>
        </w:rPr>
        <w:t>测量不确定评定</w:t>
      </w:r>
      <w:r>
        <w:rPr>
          <w:rFonts w:hint="eastAsia" w:ascii="宋体" w:hAnsi="宋体"/>
          <w:bCs/>
          <w:szCs w:val="21"/>
          <w:lang w:eastAsia="zh-CN"/>
        </w:rPr>
        <w:t>，</w:t>
      </w:r>
      <w:r>
        <w:rPr>
          <w:rFonts w:hint="eastAsia" w:ascii="宋体" w:hAnsi="宋体"/>
          <w:bCs/>
          <w:szCs w:val="21"/>
        </w:rPr>
        <w:t>有效性确认</w:t>
      </w:r>
      <w:r>
        <w:rPr>
          <w:rFonts w:hint="eastAsia" w:ascii="宋体" w:hAnsi="宋体"/>
          <w:bCs/>
          <w:szCs w:val="21"/>
          <w:lang w:eastAsia="zh-CN"/>
        </w:rPr>
        <w:t>，</w:t>
      </w:r>
      <w:r>
        <w:rPr>
          <w:rFonts w:hint="eastAsia" w:ascii="宋体" w:hAnsi="宋体"/>
          <w:bCs/>
          <w:szCs w:val="21"/>
        </w:rPr>
        <w:t xml:space="preserve">测量过程的控制 </w:t>
      </w:r>
      <w:r>
        <w:rPr>
          <w:rFonts w:hint="eastAsia" w:ascii="宋体" w:hAnsi="宋体"/>
          <w:bCs/>
          <w:szCs w:val="21"/>
          <w:lang w:eastAsia="zh-CN"/>
        </w:rPr>
        <w:t>，</w:t>
      </w:r>
      <w:r>
        <w:rPr>
          <w:rFonts w:hint="eastAsia" w:ascii="宋体" w:hAnsi="宋体"/>
          <w:bCs/>
          <w:szCs w:val="21"/>
        </w:rPr>
        <w:t>测量过程的监视</w:t>
      </w:r>
      <w:r>
        <w:rPr>
          <w:rFonts w:hint="eastAsia" w:ascii="宋体" w:hAnsi="宋体"/>
          <w:bCs/>
          <w:szCs w:val="21"/>
          <w:lang w:val="en-US" w:eastAsia="zh-CN"/>
        </w:rPr>
        <w:t>等符合要求，经审核表明</w:t>
      </w:r>
      <w:r>
        <w:rPr>
          <w:rFonts w:ascii="Times New Roman" w:hAnsi="Times New Roman" w:cs="Times New Roman"/>
          <w:bCs/>
          <w:kern w:val="0"/>
          <w:szCs w:val="21"/>
        </w:rPr>
        <w:t>。</w:t>
      </w:r>
      <w:r>
        <w:rPr>
          <w:rFonts w:hint="eastAsia" w:ascii="Times New Roman" w:hAnsi="Times New Roman" w:cs="Times New Roman"/>
          <w:bCs/>
          <w:kern w:val="0"/>
          <w:szCs w:val="21"/>
          <w:lang w:eastAsia="zh-CN"/>
        </w:rPr>
        <w:t>黑龙江省荣泽石油设备有限公司</w:t>
      </w:r>
      <w:r>
        <w:rPr>
          <w:rFonts w:hint="eastAsia" w:ascii="宋体" w:hAnsi="宋体"/>
          <w:bCs/>
          <w:szCs w:val="21"/>
          <w:lang w:eastAsia="zh-CN"/>
        </w:rPr>
        <w:t>抽油机用配电箱（资质范围内）的生产，配电柜的生产，数字化油田系列产品的设计、组装、销售、硬件及软件技术服务</w:t>
      </w:r>
      <w:r>
        <w:rPr>
          <w:rFonts w:hint="eastAsia" w:ascii="宋体" w:hAnsi="宋体"/>
          <w:bCs/>
          <w:szCs w:val="21"/>
          <w:lang w:val="en-US" w:eastAsia="zh-CN"/>
        </w:rPr>
        <w:t>等纳入</w:t>
      </w:r>
      <w:r>
        <w:rPr>
          <w:rFonts w:hint="eastAsia" w:ascii="宋体" w:hAnsi="宋体"/>
          <w:bCs/>
          <w:szCs w:val="21"/>
        </w:rPr>
        <w:t>测量管理体系，符合GB/T 19022-2003标准要求，对体系运行具有持续的有效性、符合性予以肯定</w:t>
      </w:r>
      <w:r>
        <w:rPr>
          <w:rFonts w:hint="eastAsia" w:ascii="宋体" w:hAnsi="宋体"/>
          <w:bCs/>
          <w:szCs w:val="21"/>
          <w:lang w:eastAsia="zh-CN"/>
        </w:rPr>
        <w:t>，</w:t>
      </w:r>
      <w:r>
        <w:rPr>
          <w:rFonts w:hint="eastAsia" w:ascii="宋体" w:hAnsi="宋体"/>
          <w:bCs/>
          <w:szCs w:val="21"/>
        </w:rPr>
        <w:t>建议报请北京国标联合认证有限公司批准通过。</w:t>
      </w:r>
    </w:p>
    <w:p>
      <w:pPr>
        <w:widowControl/>
        <w:spacing w:line="360" w:lineRule="auto"/>
        <w:ind w:left="211" w:hanging="210" w:hangingChars="1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spacing w:line="360" w:lineRule="auto"/>
        <w:ind w:firstLine="480"/>
        <w:rPr>
          <w:rFonts w:hint="eastAsia" w:ascii="宋体" w:hAnsi="宋体" w:cs="宋体"/>
          <w:color w:val="auto"/>
          <w:kern w:val="0"/>
          <w:szCs w:val="21"/>
          <w:highlight w:val="none"/>
          <w:lang w:eastAsia="zh-CN"/>
        </w:rPr>
      </w:pPr>
      <w:r>
        <w:rPr>
          <w:rFonts w:hint="eastAsia" w:ascii="宋体" w:hAnsi="宋体" w:cs="宋体"/>
          <w:b/>
          <w:bCs/>
          <w:color w:val="auto"/>
          <w:kern w:val="0"/>
          <w:szCs w:val="21"/>
          <w:highlight w:val="none"/>
          <w:lang w:val="en-US" w:eastAsia="zh-CN"/>
        </w:rPr>
        <w:t>10.1</w:t>
      </w:r>
      <w:r>
        <w:rPr>
          <w:rFonts w:hint="eastAsia" w:ascii="宋体" w:hAnsi="宋体" w:cs="宋体"/>
          <w:kern w:val="0"/>
          <w:szCs w:val="21"/>
          <w:highlight w:val="none"/>
          <w:lang w:val="en-US" w:eastAsia="zh-CN"/>
        </w:rPr>
        <w:t>抽</w:t>
      </w:r>
      <w:r>
        <w:rPr>
          <w:rFonts w:hint="eastAsia" w:ascii="宋体" w:hAnsi="宋体" w:cs="宋体"/>
          <w:color w:val="auto"/>
          <w:kern w:val="0"/>
          <w:szCs w:val="21"/>
          <w:highlight w:val="none"/>
          <w:lang w:val="en-US" w:eastAsia="zh-CN"/>
        </w:rPr>
        <w:t>查</w:t>
      </w:r>
      <w:r>
        <w:rPr>
          <w:rFonts w:hint="eastAsia" w:ascii="宋体"/>
          <w:color w:val="auto"/>
          <w:szCs w:val="21"/>
          <w:highlight w:val="none"/>
        </w:rPr>
        <w:t>《</w:t>
      </w:r>
      <w:r>
        <w:rPr>
          <w:rFonts w:hint="eastAsia" w:ascii="宋体"/>
          <w:color w:val="auto"/>
          <w:szCs w:val="21"/>
          <w:highlight w:val="none"/>
          <w:lang w:eastAsia="zh-CN"/>
        </w:rPr>
        <w:t>抽油机动力配电箱例行检验报告</w:t>
      </w:r>
      <w:r>
        <w:rPr>
          <w:rFonts w:hint="eastAsia" w:ascii="宋体"/>
          <w:color w:val="auto"/>
          <w:szCs w:val="21"/>
          <w:highlight w:val="none"/>
        </w:rPr>
        <w:t>》</w:t>
      </w:r>
      <w:r>
        <w:rPr>
          <w:rFonts w:hint="eastAsia" w:ascii="宋体"/>
          <w:color w:val="auto"/>
          <w:szCs w:val="21"/>
          <w:highlight w:val="none"/>
          <w:lang w:eastAsia="zh-CN"/>
        </w:rPr>
        <w:t>，</w:t>
      </w:r>
      <w:r>
        <w:rPr>
          <w:rFonts w:hint="eastAsia" w:ascii="宋体"/>
          <w:color w:val="auto"/>
          <w:szCs w:val="21"/>
          <w:highlight w:val="none"/>
          <w:lang w:val="en-US" w:eastAsia="zh-CN"/>
        </w:rPr>
        <w:t>编号JL-11-01其中产品检验依据的标准没有描述</w:t>
      </w:r>
      <w:r>
        <w:rPr>
          <w:rFonts w:hint="eastAsia" w:ascii="宋体" w:hAnsi="宋体" w:cs="宋体"/>
          <w:color w:val="auto"/>
          <w:kern w:val="0"/>
          <w:szCs w:val="21"/>
          <w:highlight w:val="none"/>
        </w:rPr>
        <w:t>。不符合GB/T19022-2003标准中</w:t>
      </w:r>
      <w:r>
        <w:rPr>
          <w:rFonts w:hint="eastAsia" w:ascii="宋体" w:hAnsi="宋体" w:cs="宋体"/>
          <w:color w:val="auto"/>
          <w:kern w:val="0"/>
          <w:szCs w:val="21"/>
          <w:highlight w:val="none"/>
          <w:lang w:val="en-US" w:eastAsia="zh-CN"/>
        </w:rPr>
        <w:t>7.2.4</w:t>
      </w:r>
      <w:r>
        <w:rPr>
          <w:rFonts w:hint="eastAsia" w:ascii="宋体" w:hAnsi="宋体" w:cs="宋体"/>
          <w:color w:val="auto"/>
          <w:kern w:val="0"/>
          <w:szCs w:val="21"/>
          <w:highlight w:val="none"/>
        </w:rPr>
        <w:t>条款“</w:t>
      </w:r>
      <w:r>
        <w:rPr>
          <w:rFonts w:hint="eastAsia" w:ascii="宋体"/>
          <w:color w:val="auto"/>
          <w:szCs w:val="21"/>
          <w:highlight w:val="none"/>
          <w:lang w:val="en-US" w:eastAsia="zh-CN"/>
        </w:rPr>
        <w:t>a）实施的测量过程的完整表述，包括所用的全部要素（例如操作者、测量设备或核查标准）和相关的操作条件</w:t>
      </w:r>
      <w:r>
        <w:rPr>
          <w:rFonts w:hint="eastAsia" w:ascii="宋体" w:hAnsi="宋体" w:cs="宋体"/>
          <w:color w:val="auto"/>
          <w:kern w:val="0"/>
          <w:szCs w:val="21"/>
          <w:highlight w:val="none"/>
        </w:rPr>
        <w:t>。”的规定要求。</w:t>
      </w:r>
      <w:r>
        <w:rPr>
          <w:rFonts w:hint="eastAsia" w:ascii="宋体" w:hAnsi="宋体" w:cs="宋体"/>
          <w:color w:val="auto"/>
          <w:kern w:val="0"/>
          <w:szCs w:val="21"/>
          <w:highlight w:val="none"/>
          <w:lang w:eastAsia="zh-CN"/>
        </w:rPr>
        <w:t>属于次要不符合项。</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黑龙江省荣泽石油设备有限公司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11.06</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9-10</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黑龙江省荣泽石油设备有限公司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w:t>
      </w:r>
      <w:r>
        <w:rPr>
          <w:rFonts w:hint="eastAsia" w:ascii="Times New Roman" w:hAnsi="Times New Roman" w:cs="Times New Roman"/>
          <w:bCs/>
          <w:kern w:val="0"/>
          <w:szCs w:val="21"/>
          <w:lang w:eastAsia="zh-CN"/>
        </w:rPr>
        <w:t>扩项</w:t>
      </w:r>
      <w:r>
        <w:rPr>
          <w:rFonts w:ascii="Times New Roman" w:hAnsi="Times New Roman" w:cs="Times New Roman"/>
          <w:bCs/>
          <w:kern w:val="0"/>
          <w:szCs w:val="21"/>
        </w:rPr>
        <w:t>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黑龙江省荣泽石油设备有限公司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2020.11.10</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FA352"/>
    <w:multiLevelType w:val="singleLevel"/>
    <w:tmpl w:val="704FA352"/>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93022F8"/>
    <w:rsid w:val="0AAC43F2"/>
    <w:rsid w:val="0B6A287A"/>
    <w:rsid w:val="0B9C159A"/>
    <w:rsid w:val="0C4A062D"/>
    <w:rsid w:val="0CF4221B"/>
    <w:rsid w:val="0D335818"/>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91875B9"/>
    <w:rsid w:val="192F5B1C"/>
    <w:rsid w:val="1A9066D8"/>
    <w:rsid w:val="1ACB2E07"/>
    <w:rsid w:val="1B6E0BCC"/>
    <w:rsid w:val="1DB528F4"/>
    <w:rsid w:val="1E8D2076"/>
    <w:rsid w:val="1F96490F"/>
    <w:rsid w:val="1FD87C5A"/>
    <w:rsid w:val="202E5BEC"/>
    <w:rsid w:val="205A621D"/>
    <w:rsid w:val="221F4A52"/>
    <w:rsid w:val="22D6310F"/>
    <w:rsid w:val="234C1DE6"/>
    <w:rsid w:val="236837F1"/>
    <w:rsid w:val="26D61E0E"/>
    <w:rsid w:val="290D70F9"/>
    <w:rsid w:val="294A7B5F"/>
    <w:rsid w:val="29EC5CDB"/>
    <w:rsid w:val="2CAB432C"/>
    <w:rsid w:val="2DD74E91"/>
    <w:rsid w:val="2E000AD3"/>
    <w:rsid w:val="2E92798F"/>
    <w:rsid w:val="2E94229B"/>
    <w:rsid w:val="2EE23BD1"/>
    <w:rsid w:val="30DE05E1"/>
    <w:rsid w:val="31BE3393"/>
    <w:rsid w:val="33947CD2"/>
    <w:rsid w:val="34D4260D"/>
    <w:rsid w:val="367709AC"/>
    <w:rsid w:val="36823C9C"/>
    <w:rsid w:val="37596989"/>
    <w:rsid w:val="37C53059"/>
    <w:rsid w:val="38505CE2"/>
    <w:rsid w:val="38B518FA"/>
    <w:rsid w:val="38E460E2"/>
    <w:rsid w:val="39364992"/>
    <w:rsid w:val="3A8F40F6"/>
    <w:rsid w:val="3AF34A65"/>
    <w:rsid w:val="3B6C0871"/>
    <w:rsid w:val="3D8C65CA"/>
    <w:rsid w:val="3F5A39F0"/>
    <w:rsid w:val="3FD079A4"/>
    <w:rsid w:val="410611B0"/>
    <w:rsid w:val="4119198D"/>
    <w:rsid w:val="415E78AA"/>
    <w:rsid w:val="42C727C5"/>
    <w:rsid w:val="43584738"/>
    <w:rsid w:val="4453192D"/>
    <w:rsid w:val="44D943E8"/>
    <w:rsid w:val="46425F4D"/>
    <w:rsid w:val="46FF1A20"/>
    <w:rsid w:val="478068A7"/>
    <w:rsid w:val="47B32C1A"/>
    <w:rsid w:val="47B758BF"/>
    <w:rsid w:val="4B646F95"/>
    <w:rsid w:val="4CD650EE"/>
    <w:rsid w:val="4D3B07E4"/>
    <w:rsid w:val="4DF83EDC"/>
    <w:rsid w:val="4E2C127C"/>
    <w:rsid w:val="4E450A7C"/>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A46180"/>
    <w:rsid w:val="60C64E46"/>
    <w:rsid w:val="62BA3AD0"/>
    <w:rsid w:val="63C16F8E"/>
    <w:rsid w:val="63FC6CAF"/>
    <w:rsid w:val="653A5005"/>
    <w:rsid w:val="654B5DFD"/>
    <w:rsid w:val="65C01B44"/>
    <w:rsid w:val="660C5331"/>
    <w:rsid w:val="6B9A7111"/>
    <w:rsid w:val="6CC32C31"/>
    <w:rsid w:val="6F264392"/>
    <w:rsid w:val="6F2A687E"/>
    <w:rsid w:val="6FCF21C7"/>
    <w:rsid w:val="70C73DB5"/>
    <w:rsid w:val="729F40AE"/>
    <w:rsid w:val="73877C76"/>
    <w:rsid w:val="738E408B"/>
    <w:rsid w:val="7405196C"/>
    <w:rsid w:val="74062830"/>
    <w:rsid w:val="74243E8A"/>
    <w:rsid w:val="7567525C"/>
    <w:rsid w:val="75E04B0D"/>
    <w:rsid w:val="77555FF3"/>
    <w:rsid w:val="784E5A3C"/>
    <w:rsid w:val="788E567B"/>
    <w:rsid w:val="79D365C5"/>
    <w:rsid w:val="7AE25BD9"/>
    <w:rsid w:val="7B63548B"/>
    <w:rsid w:val="7CB55D5F"/>
    <w:rsid w:val="7EA333B8"/>
    <w:rsid w:val="7EEE16D3"/>
    <w:rsid w:val="7F6C7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15</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2020-11-10T06:40:06Z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