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15"/>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 xml:space="preserve">0430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033"/>
        <w:gridCol w:w="472"/>
        <w:gridCol w:w="688"/>
        <w:gridCol w:w="602"/>
        <w:gridCol w:w="378"/>
        <w:gridCol w:w="1110"/>
        <w:gridCol w:w="380"/>
        <w:gridCol w:w="1357"/>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4198" w:type="dxa"/>
            <w:gridSpan w:val="6"/>
            <w:tcBorders>
              <w:top w:val="single" w:color="auto" w:sz="8" w:space="0"/>
            </w:tcBorders>
            <w:vAlign w:val="center"/>
          </w:tcPr>
          <w:p>
            <w:pPr>
              <w:snapToGrid w:val="0"/>
              <w:spacing w:line="280" w:lineRule="exact"/>
              <w:jc w:val="center"/>
              <w:rPr>
                <w:b/>
                <w:sz w:val="20"/>
              </w:rPr>
            </w:pPr>
            <w:bookmarkStart w:id="4" w:name="组织名称"/>
            <w:r>
              <w:rPr>
                <w:b/>
                <w:sz w:val="20"/>
              </w:rPr>
              <w:t>北京兴垚嘉洁环保科技有限公司</w:t>
            </w:r>
            <w:bookmarkEnd w:id="4"/>
          </w:p>
        </w:tc>
        <w:tc>
          <w:tcPr>
            <w:tcW w:w="1490"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2736" w:type="dxa"/>
            <w:gridSpan w:val="2"/>
            <w:tcBorders>
              <w:top w:val="single" w:color="auto" w:sz="8" w:space="0"/>
            </w:tcBorders>
            <w:vAlign w:val="center"/>
          </w:tcPr>
          <w:p>
            <w:pPr>
              <w:snapToGrid w:val="0"/>
              <w:spacing w:line="280" w:lineRule="exact"/>
              <w:ind w:left="52"/>
              <w:jc w:val="center"/>
              <w:rPr>
                <w:b/>
                <w:sz w:val="20"/>
              </w:rPr>
            </w:pPr>
            <w:bookmarkStart w:id="5" w:name="专业代码"/>
            <w:r>
              <w:rPr>
                <w:b/>
                <w:sz w:val="20"/>
              </w:rPr>
              <w:t>Q：29.12.00;35.16.01;35.16.02</w:t>
            </w:r>
          </w:p>
          <w:p>
            <w:pPr>
              <w:snapToGrid w:val="0"/>
              <w:spacing w:line="280" w:lineRule="exact"/>
              <w:ind w:left="52"/>
              <w:jc w:val="center"/>
              <w:rPr>
                <w:b/>
                <w:sz w:val="20"/>
              </w:rPr>
            </w:pPr>
            <w:r>
              <w:rPr>
                <w:b/>
                <w:sz w:val="20"/>
              </w:rPr>
              <w:t>E：29.12.00;35.16.01;35.16.02</w:t>
            </w:r>
          </w:p>
          <w:p>
            <w:pPr>
              <w:snapToGrid w:val="0"/>
              <w:spacing w:line="280" w:lineRule="exact"/>
              <w:ind w:left="52"/>
              <w:jc w:val="center"/>
              <w:rPr>
                <w:b/>
                <w:sz w:val="20"/>
              </w:rPr>
            </w:pPr>
            <w:r>
              <w:rPr>
                <w:b/>
                <w:sz w:val="20"/>
              </w:rPr>
              <w:t>O：29.12.00;35.16.01;35.16.02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058"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160" w:type="dxa"/>
            <w:gridSpan w:val="2"/>
            <w:vAlign w:val="center"/>
          </w:tcPr>
          <w:p>
            <w:pPr>
              <w:snapToGrid w:val="0"/>
              <w:spacing w:line="280" w:lineRule="exact"/>
              <w:jc w:val="center"/>
              <w:rPr>
                <w:b/>
                <w:sz w:val="22"/>
                <w:szCs w:val="22"/>
              </w:rPr>
            </w:pPr>
            <w:r>
              <w:rPr>
                <w:rFonts w:hint="eastAsia"/>
                <w:b/>
                <w:sz w:val="22"/>
                <w:szCs w:val="22"/>
              </w:rPr>
              <w:t>专业</w:t>
            </w:r>
          </w:p>
        </w:tc>
        <w:tc>
          <w:tcPr>
            <w:tcW w:w="2090" w:type="dxa"/>
            <w:gridSpan w:val="3"/>
            <w:vAlign w:val="center"/>
          </w:tcPr>
          <w:p>
            <w:pPr>
              <w:snapToGrid w:val="0"/>
              <w:spacing w:line="280" w:lineRule="exact"/>
              <w:ind w:left="52"/>
              <w:jc w:val="left"/>
              <w:rPr>
                <w:b/>
                <w:sz w:val="20"/>
              </w:rPr>
            </w:pPr>
            <w:r>
              <w:rPr>
                <w:b/>
                <w:sz w:val="20"/>
              </w:rPr>
              <w:t>Q：35.16.01;35.16.02</w:t>
            </w:r>
          </w:p>
          <w:p>
            <w:pPr>
              <w:snapToGrid w:val="0"/>
              <w:spacing w:line="280" w:lineRule="exact"/>
              <w:ind w:left="52"/>
              <w:jc w:val="left"/>
              <w:rPr>
                <w:b/>
                <w:sz w:val="20"/>
              </w:rPr>
            </w:pPr>
            <w:r>
              <w:rPr>
                <w:b/>
                <w:sz w:val="20"/>
              </w:rPr>
              <w:t>E：35.16.01;35.16.02</w:t>
            </w:r>
          </w:p>
          <w:p>
            <w:pPr>
              <w:snapToGrid w:val="0"/>
              <w:spacing w:line="280" w:lineRule="exact"/>
              <w:jc w:val="left"/>
              <w:rPr>
                <w:b/>
                <w:sz w:val="20"/>
              </w:rPr>
            </w:pPr>
            <w:r>
              <w:rPr>
                <w:b/>
                <w:sz w:val="20"/>
              </w:rPr>
              <w:t>O：35.16.01;35.16.02</w:t>
            </w:r>
          </w:p>
        </w:tc>
        <w:tc>
          <w:tcPr>
            <w:tcW w:w="1737" w:type="dxa"/>
            <w:gridSpan w:val="2"/>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505" w:type="dxa"/>
            <w:gridSpan w:val="2"/>
            <w:vAlign w:val="center"/>
          </w:tcPr>
          <w:p>
            <w:pPr>
              <w:snapToGrid w:val="0"/>
              <w:spacing w:line="360" w:lineRule="exact"/>
              <w:jc w:val="center"/>
              <w:rPr>
                <w:b/>
                <w:sz w:val="20"/>
              </w:rPr>
            </w:pPr>
          </w:p>
        </w:tc>
        <w:tc>
          <w:tcPr>
            <w:tcW w:w="1290" w:type="dxa"/>
            <w:gridSpan w:val="2"/>
            <w:vAlign w:val="center"/>
          </w:tcPr>
          <w:p>
            <w:pPr>
              <w:snapToGrid w:val="0"/>
              <w:spacing w:line="360" w:lineRule="exact"/>
              <w:jc w:val="center"/>
              <w:rPr>
                <w:b/>
                <w:sz w:val="20"/>
              </w:rPr>
            </w:pPr>
          </w:p>
        </w:tc>
        <w:tc>
          <w:tcPr>
            <w:tcW w:w="1488" w:type="dxa"/>
            <w:gridSpan w:val="2"/>
            <w:vAlign w:val="center"/>
          </w:tcPr>
          <w:p>
            <w:pPr>
              <w:snapToGrid w:val="0"/>
              <w:spacing w:line="360" w:lineRule="exact"/>
              <w:jc w:val="center"/>
              <w:rPr>
                <w:b/>
                <w:sz w:val="20"/>
              </w:rPr>
            </w:pPr>
          </w:p>
        </w:tc>
        <w:tc>
          <w:tcPr>
            <w:tcW w:w="1737" w:type="dxa"/>
            <w:gridSpan w:val="2"/>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505" w:type="dxa"/>
            <w:gridSpan w:val="2"/>
            <w:vAlign w:val="center"/>
          </w:tcPr>
          <w:p>
            <w:pPr>
              <w:snapToGrid w:val="0"/>
              <w:spacing w:line="360" w:lineRule="exact"/>
              <w:jc w:val="center"/>
              <w:rPr>
                <w:b/>
                <w:sz w:val="20"/>
              </w:rPr>
            </w:pPr>
          </w:p>
        </w:tc>
        <w:tc>
          <w:tcPr>
            <w:tcW w:w="1290" w:type="dxa"/>
            <w:gridSpan w:val="2"/>
            <w:vAlign w:val="center"/>
          </w:tcPr>
          <w:p>
            <w:pPr>
              <w:snapToGrid w:val="0"/>
              <w:spacing w:line="360" w:lineRule="exact"/>
              <w:jc w:val="center"/>
              <w:rPr>
                <w:b/>
                <w:sz w:val="20"/>
              </w:rPr>
            </w:pPr>
          </w:p>
        </w:tc>
        <w:tc>
          <w:tcPr>
            <w:tcW w:w="1488" w:type="dxa"/>
            <w:gridSpan w:val="2"/>
            <w:vAlign w:val="center"/>
          </w:tcPr>
          <w:p>
            <w:pPr>
              <w:snapToGrid w:val="0"/>
              <w:spacing w:line="360" w:lineRule="exact"/>
              <w:jc w:val="center"/>
              <w:rPr>
                <w:b/>
                <w:sz w:val="20"/>
              </w:rPr>
            </w:pPr>
          </w:p>
        </w:tc>
        <w:tc>
          <w:tcPr>
            <w:tcW w:w="1737" w:type="dxa"/>
            <w:gridSpan w:val="2"/>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10"/>
            <w:vAlign w:val="center"/>
          </w:tcPr>
          <w:p>
            <w:pPr>
              <w:pStyle w:val="3"/>
              <w:spacing w:line="440" w:lineRule="exact"/>
              <w:rPr>
                <w:rFonts w:hint="eastAsia" w:ascii="宋体" w:hAnsi="Times New Roman" w:eastAsia="宋体" w:cs="Times New Roman"/>
                <w:bCs w:val="0"/>
                <w:snapToGrid/>
                <w:spacing w:val="0"/>
                <w:kern w:val="2"/>
                <w:sz w:val="20"/>
                <w:szCs w:val="20"/>
                <w:lang w:val="en-US" w:eastAsia="zh-CN" w:bidi="ar-SA"/>
              </w:rPr>
            </w:pPr>
            <w:r>
              <w:rPr>
                <w:rFonts w:hint="eastAsia" w:ascii="宋体" w:hAnsi="Times New Roman" w:eastAsia="宋体" w:cs="Times New Roman"/>
                <w:bCs w:val="0"/>
                <w:snapToGrid/>
                <w:spacing w:val="0"/>
                <w:kern w:val="2"/>
                <w:sz w:val="20"/>
                <w:szCs w:val="20"/>
                <w:lang w:val="en-US" w:eastAsia="zh-CN" w:bidi="ar-SA"/>
              </w:rPr>
              <w:t>清洁服务及油烟管道的清洗服务</w:t>
            </w:r>
          </w:p>
          <w:p>
            <w:pPr>
              <w:pStyle w:val="3"/>
              <w:spacing w:line="440" w:lineRule="exact"/>
              <w:rPr>
                <w:rFonts w:hint="eastAsia" w:ascii="宋体" w:hAnsi="Times New Roman" w:eastAsia="宋体" w:cs="Times New Roman"/>
                <w:bCs w:val="0"/>
                <w:snapToGrid/>
                <w:spacing w:val="0"/>
                <w:kern w:val="2"/>
                <w:sz w:val="20"/>
                <w:szCs w:val="20"/>
                <w:lang w:val="en-US" w:eastAsia="zh-CN" w:bidi="ar-SA"/>
              </w:rPr>
            </w:pPr>
            <w:r>
              <w:rPr>
                <w:rFonts w:hint="eastAsia" w:ascii="宋体" w:hAnsi="Times New Roman" w:eastAsia="宋体" w:cs="Times New Roman"/>
                <w:bCs w:val="0"/>
                <w:snapToGrid/>
                <w:spacing w:val="0"/>
                <w:kern w:val="2"/>
                <w:sz w:val="20"/>
                <w:szCs w:val="20"/>
                <w:lang w:val="en-US" w:eastAsia="zh-CN" w:bidi="ar-SA"/>
              </w:rPr>
              <w:t>合同签订---入驻项目现场---清洗现场评估---确定清洗方案---执行清洗方案---检验---评价---顾客满意度调查</w:t>
            </w:r>
          </w:p>
          <w:p>
            <w:pPr>
              <w:pStyle w:val="3"/>
              <w:spacing w:line="440" w:lineRule="exact"/>
              <w:rPr>
                <w:rFonts w:hint="default" w:ascii="宋体" w:hAnsi="Times New Roman" w:eastAsia="宋体" w:cs="Times New Roman"/>
                <w:bCs w:val="0"/>
                <w:snapToGrid/>
                <w:spacing w:val="0"/>
                <w:kern w:val="2"/>
                <w:sz w:val="20"/>
                <w:szCs w:val="20"/>
                <w:lang w:val="en-US" w:eastAsia="zh-CN" w:bidi="ar-SA"/>
              </w:rPr>
            </w:pPr>
            <w:r>
              <w:rPr>
                <w:rFonts w:hint="eastAsia" w:ascii="宋体" w:hAnsi="Times New Roman" w:eastAsia="宋体" w:cs="Times New Roman"/>
                <w:bCs w:val="0"/>
                <w:snapToGrid/>
                <w:spacing w:val="0"/>
                <w:kern w:val="2"/>
                <w:sz w:val="20"/>
                <w:szCs w:val="20"/>
                <w:lang w:val="en-US" w:eastAsia="zh-CN" w:bidi="ar-SA"/>
              </w:rPr>
              <w:t>其中关键过程有  清洗服务过程  需要确认过程  清洗服务过程</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424" w:type="dxa"/>
            <w:gridSpan w:val="10"/>
            <w:vAlign w:val="center"/>
          </w:tcPr>
          <w:p>
            <w:pPr>
              <w:snapToGrid w:val="0"/>
              <w:spacing w:line="280" w:lineRule="exact"/>
              <w:jc w:val="left"/>
              <w:rPr>
                <w:b/>
                <w:sz w:val="20"/>
              </w:rPr>
            </w:pPr>
            <w:r>
              <w:rPr>
                <w:rFonts w:hint="eastAsia" w:ascii="宋体" w:hAnsi="Times New Roman" w:eastAsia="宋体" w:cs="Times New Roman"/>
                <w:bCs w:val="0"/>
                <w:spacing w:val="0"/>
                <w:kern w:val="2"/>
                <w:sz w:val="20"/>
                <w:szCs w:val="20"/>
                <w:lang w:val="en-US" w:eastAsia="zh-CN" w:bidi="ar-SA"/>
              </w:rPr>
              <w:t xml:space="preserve">控制内容包括：服务方法和程序、设备工具的认可、人员资格的鉴定、记录要求等。评审结论：根据公司实际情况资质范围内的厨房排烟管道和家用电器清洁服务服务，实现过程按照公司质量控制管理制度进行，过程所用基础设施均处在完好状态，从业人员经过培训，胜任本职工作，可以提供满足顾客要求、法律法规要求的服务。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10"/>
            <w:vAlign w:val="center"/>
          </w:tcPr>
          <w:p>
            <w:pPr>
              <w:pStyle w:val="2"/>
              <w:rPr>
                <w:rFonts w:hint="eastAsia" w:ascii="宋体" w:hAnsi="Times New Roman" w:eastAsia="宋体" w:cs="Times New Roman"/>
                <w:bCs w:val="0"/>
                <w:spacing w:val="0"/>
                <w:sz w:val="20"/>
                <w:szCs w:val="20"/>
              </w:rPr>
            </w:pPr>
            <w:r>
              <w:rPr>
                <w:rFonts w:hint="eastAsia" w:ascii="宋体" w:hAnsi="Times New Roman" w:eastAsia="宋体" w:cs="Times New Roman"/>
                <w:bCs w:val="0"/>
                <w:spacing w:val="0"/>
                <w:sz w:val="20"/>
                <w:szCs w:val="20"/>
              </w:rPr>
              <w:t>提供的“环境因素识别评价表”“重要环境因素清单”， 评价考虑了三种时态现在、过去、将来、三种状态、异常、正常、紧急考虑了法律法规，并进行了评价，资质范围内的厨房排烟管道和家用电器清洁服务过程，用打分法考虑了法规符合性、发生频次、影响范围等, 通过定性判断法，共识别出重大环境因素2项：固废排放、火灾，评价符合程序要求及公司的实际情况。</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10"/>
            <w:vAlign w:val="center"/>
          </w:tcPr>
          <w:p>
            <w:pPr>
              <w:pStyle w:val="2"/>
              <w:rPr>
                <w:rFonts w:hint="eastAsia" w:ascii="宋体" w:hAnsi="Times New Roman" w:eastAsia="宋体" w:cs="Times New Roman"/>
                <w:bCs w:val="0"/>
                <w:spacing w:val="0"/>
                <w:sz w:val="20"/>
                <w:szCs w:val="20"/>
              </w:rPr>
            </w:pPr>
            <w:r>
              <w:rPr>
                <w:rFonts w:hint="eastAsia" w:ascii="宋体" w:hAnsi="Times New Roman" w:eastAsia="宋体" w:cs="Times New Roman"/>
                <w:bCs w:val="0"/>
                <w:spacing w:val="0"/>
                <w:sz w:val="20"/>
                <w:szCs w:val="20"/>
              </w:rPr>
              <w:t>提供的：“危险源识别与风险评价表”“不可接受风险源清单”， 评价考虑了将来、状态、可能导致的事件，并进行了评价，用打分法考虑了法规符合性、发生频次、影响范围等, 通过是非法，共识别出不可接受风险3项，涉及：火灾和触电、意外伤害。评价符合程序要求及公司的实际情况。对危险源的控制措施包括制定管理制度、监督检查、应急预案、培训等。</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10"/>
            <w:vAlign w:val="center"/>
          </w:tcPr>
          <w:p>
            <w:pPr>
              <w:pStyle w:val="2"/>
              <w:rPr>
                <w:rFonts w:ascii="宋体"/>
                <w:bCs w:val="0"/>
                <w:spacing w:val="0"/>
                <w:sz w:val="20"/>
                <w:szCs w:val="20"/>
              </w:rPr>
            </w:pPr>
            <w:r>
              <w:rPr>
                <w:rFonts w:hint="eastAsia" w:ascii="宋体"/>
                <w:bCs w:val="0"/>
                <w:spacing w:val="0"/>
                <w:sz w:val="20"/>
                <w:szCs w:val="20"/>
              </w:rPr>
              <w:t>关于加强饮食娱乐服务行业环境管理的通知</w:t>
            </w:r>
            <w:r>
              <w:rPr>
                <w:rFonts w:hint="eastAsia" w:ascii="宋体"/>
                <w:bCs w:val="0"/>
                <w:spacing w:val="0"/>
                <w:sz w:val="20"/>
                <w:szCs w:val="20"/>
              </w:rPr>
              <w:tab/>
            </w:r>
            <w:r>
              <w:rPr>
                <w:rFonts w:hint="eastAsia" w:ascii="宋体"/>
                <w:bCs w:val="0"/>
                <w:spacing w:val="0"/>
                <w:sz w:val="20"/>
                <w:szCs w:val="20"/>
              </w:rPr>
              <w:t>国家环境保护局</w:t>
            </w:r>
          </w:p>
          <w:p>
            <w:pPr>
              <w:pStyle w:val="2"/>
              <w:rPr>
                <w:rFonts w:ascii="宋体"/>
                <w:bCs w:val="0"/>
                <w:spacing w:val="0"/>
                <w:sz w:val="20"/>
                <w:szCs w:val="20"/>
              </w:rPr>
            </w:pPr>
            <w:r>
              <w:rPr>
                <w:rFonts w:hint="eastAsia" w:ascii="宋体"/>
                <w:bCs w:val="0"/>
                <w:spacing w:val="0"/>
                <w:sz w:val="20"/>
                <w:szCs w:val="20"/>
              </w:rPr>
              <w:t>人员密集场所消防安全管理GA654-2006</w:t>
            </w:r>
            <w:r>
              <w:rPr>
                <w:rFonts w:hint="eastAsia" w:ascii="宋体"/>
                <w:bCs w:val="0"/>
                <w:spacing w:val="0"/>
                <w:sz w:val="20"/>
                <w:szCs w:val="20"/>
              </w:rPr>
              <w:tab/>
            </w:r>
            <w:r>
              <w:rPr>
                <w:rFonts w:hint="eastAsia" w:ascii="宋体"/>
                <w:bCs w:val="0"/>
                <w:spacing w:val="0"/>
                <w:sz w:val="20"/>
                <w:szCs w:val="20"/>
              </w:rPr>
              <w:t>公安部消防局</w:t>
            </w:r>
          </w:p>
          <w:p>
            <w:pPr>
              <w:pStyle w:val="2"/>
              <w:rPr>
                <w:rFonts w:ascii="宋体"/>
                <w:bCs w:val="0"/>
                <w:spacing w:val="0"/>
                <w:sz w:val="20"/>
                <w:szCs w:val="20"/>
              </w:rPr>
            </w:pPr>
            <w:r>
              <w:rPr>
                <w:rFonts w:hint="eastAsia" w:ascii="宋体"/>
                <w:bCs w:val="0"/>
                <w:spacing w:val="0"/>
                <w:sz w:val="20"/>
                <w:szCs w:val="20"/>
              </w:rPr>
              <w:t>北京市消防条例</w:t>
            </w:r>
            <w:r>
              <w:rPr>
                <w:rFonts w:hint="eastAsia" w:ascii="宋体"/>
                <w:bCs w:val="0"/>
                <w:spacing w:val="0"/>
                <w:sz w:val="20"/>
                <w:szCs w:val="20"/>
              </w:rPr>
              <w:tab/>
            </w:r>
            <w:r>
              <w:rPr>
                <w:rFonts w:hint="eastAsia" w:ascii="宋体"/>
                <w:bCs w:val="0"/>
                <w:spacing w:val="0"/>
                <w:sz w:val="20"/>
                <w:szCs w:val="20"/>
              </w:rPr>
              <w:t>北京市第十三届人民代表大会常务委员会</w:t>
            </w:r>
          </w:p>
          <w:p>
            <w:pPr>
              <w:pStyle w:val="2"/>
              <w:rPr>
                <w:rFonts w:ascii="宋体"/>
                <w:bCs w:val="0"/>
                <w:spacing w:val="0"/>
                <w:sz w:val="20"/>
                <w:szCs w:val="20"/>
              </w:rPr>
            </w:pPr>
            <w:r>
              <w:rPr>
                <w:rFonts w:hint="eastAsia" w:ascii="宋体"/>
                <w:bCs w:val="0"/>
                <w:spacing w:val="0"/>
                <w:sz w:val="20"/>
                <w:szCs w:val="20"/>
              </w:rPr>
              <w:t>北京市餐饮经营单位安全生产规定</w:t>
            </w:r>
            <w:r>
              <w:rPr>
                <w:rFonts w:hint="eastAsia" w:ascii="宋体"/>
                <w:bCs w:val="0"/>
                <w:spacing w:val="0"/>
                <w:sz w:val="20"/>
                <w:szCs w:val="20"/>
              </w:rPr>
              <w:tab/>
            </w:r>
            <w:r>
              <w:rPr>
                <w:rFonts w:hint="eastAsia" w:ascii="宋体"/>
                <w:bCs w:val="0"/>
                <w:spacing w:val="0"/>
                <w:sz w:val="20"/>
                <w:szCs w:val="20"/>
              </w:rPr>
              <w:t>人民政府第54次常务会议</w:t>
            </w:r>
          </w:p>
          <w:p>
            <w:pPr>
              <w:pStyle w:val="2"/>
              <w:rPr>
                <w:rFonts w:ascii="宋体"/>
                <w:bCs w:val="0"/>
                <w:spacing w:val="0"/>
                <w:sz w:val="20"/>
                <w:szCs w:val="20"/>
              </w:rPr>
            </w:pPr>
            <w:r>
              <w:rPr>
                <w:rFonts w:hint="eastAsia" w:ascii="宋体"/>
                <w:bCs w:val="0"/>
                <w:spacing w:val="0"/>
                <w:sz w:val="20"/>
                <w:szCs w:val="20"/>
              </w:rPr>
              <w:t>排油烟设施清洗行业管理办法</w:t>
            </w:r>
            <w:r>
              <w:rPr>
                <w:rFonts w:hint="eastAsia" w:ascii="宋体"/>
                <w:bCs w:val="0"/>
                <w:spacing w:val="0"/>
                <w:sz w:val="20"/>
                <w:szCs w:val="20"/>
              </w:rPr>
              <w:tab/>
            </w:r>
            <w:r>
              <w:rPr>
                <w:rFonts w:hint="eastAsia" w:ascii="宋体"/>
                <w:bCs w:val="0"/>
                <w:spacing w:val="0"/>
                <w:sz w:val="20"/>
                <w:szCs w:val="20"/>
              </w:rPr>
              <w:t>北京消防协会</w:t>
            </w:r>
          </w:p>
          <w:p>
            <w:pPr>
              <w:pStyle w:val="2"/>
              <w:rPr>
                <w:rFonts w:ascii="宋体"/>
                <w:bCs w:val="0"/>
                <w:spacing w:val="0"/>
                <w:sz w:val="20"/>
                <w:szCs w:val="20"/>
              </w:rPr>
            </w:pPr>
            <w:r>
              <w:rPr>
                <w:rFonts w:hint="eastAsia" w:ascii="宋体"/>
                <w:bCs w:val="0"/>
                <w:spacing w:val="0"/>
                <w:sz w:val="20"/>
                <w:szCs w:val="20"/>
              </w:rPr>
              <w:t>排油烟设施清洗技术规程</w:t>
            </w:r>
            <w:r>
              <w:rPr>
                <w:rFonts w:hint="eastAsia" w:ascii="宋体"/>
                <w:bCs w:val="0"/>
                <w:spacing w:val="0"/>
                <w:sz w:val="20"/>
                <w:szCs w:val="20"/>
              </w:rPr>
              <w:tab/>
            </w:r>
            <w:r>
              <w:rPr>
                <w:rFonts w:hint="eastAsia" w:ascii="宋体"/>
                <w:bCs w:val="0"/>
                <w:spacing w:val="0"/>
                <w:sz w:val="20"/>
                <w:szCs w:val="20"/>
              </w:rPr>
              <w:t>北京消防协会</w:t>
            </w:r>
          </w:p>
          <w:p>
            <w:pPr>
              <w:pStyle w:val="2"/>
              <w:rPr>
                <w:rFonts w:ascii="宋体"/>
                <w:bCs w:val="0"/>
                <w:spacing w:val="0"/>
                <w:sz w:val="20"/>
                <w:szCs w:val="20"/>
              </w:rPr>
            </w:pPr>
            <w:r>
              <w:rPr>
                <w:rFonts w:hint="eastAsia" w:ascii="宋体"/>
                <w:bCs w:val="0"/>
                <w:spacing w:val="0"/>
                <w:sz w:val="20"/>
                <w:szCs w:val="20"/>
              </w:rPr>
              <w:t>清洁行业经营服务规范SB/T 10595-2011</w:t>
            </w:r>
          </w:p>
          <w:p>
            <w:pPr>
              <w:pStyle w:val="2"/>
              <w:rPr>
                <w:rFonts w:hint="eastAsia" w:ascii="宋体"/>
                <w:bCs w:val="0"/>
                <w:spacing w:val="0"/>
                <w:sz w:val="20"/>
                <w:szCs w:val="20"/>
              </w:rPr>
            </w:pPr>
            <w:r>
              <w:rPr>
                <w:rFonts w:hint="eastAsia" w:ascii="宋体"/>
                <w:bCs w:val="0"/>
                <w:spacing w:val="0"/>
                <w:sz w:val="20"/>
                <w:szCs w:val="20"/>
              </w:rPr>
              <w:t>CECS 292-2011</w:t>
            </w:r>
            <w:r>
              <w:rPr>
                <w:rFonts w:hint="eastAsia" w:ascii="宋体"/>
                <w:bCs w:val="0"/>
                <w:spacing w:val="0"/>
                <w:sz w:val="20"/>
                <w:szCs w:val="20"/>
              </w:rPr>
              <w:tab/>
            </w:r>
            <w:r>
              <w:rPr>
                <w:rFonts w:hint="eastAsia" w:ascii="宋体"/>
                <w:bCs w:val="0"/>
                <w:spacing w:val="0"/>
                <w:sz w:val="20"/>
                <w:szCs w:val="20"/>
              </w:rPr>
              <w:t xml:space="preserve"> 气体消防设施选型配置设计规程</w:t>
            </w:r>
            <w:r>
              <w:rPr>
                <w:rFonts w:hint="eastAsia" w:ascii="宋体"/>
                <w:bCs w:val="0"/>
                <w:spacing w:val="0"/>
                <w:sz w:val="20"/>
                <w:szCs w:val="20"/>
              </w:rPr>
              <w:tab/>
            </w:r>
            <w:r>
              <w:rPr>
                <w:rFonts w:hint="eastAsia" w:ascii="宋体"/>
                <w:bCs w:val="0"/>
                <w:spacing w:val="0"/>
                <w:sz w:val="20"/>
                <w:szCs w:val="20"/>
              </w:rPr>
              <w:t>中国工程建设标准化协.</w:t>
            </w:r>
          </w:p>
          <w:p>
            <w:pPr>
              <w:pStyle w:val="2"/>
              <w:rPr>
                <w:rFonts w:ascii="宋体"/>
                <w:bCs w:val="0"/>
                <w:spacing w:val="0"/>
                <w:sz w:val="20"/>
                <w:szCs w:val="20"/>
              </w:rPr>
            </w:pPr>
            <w:r>
              <w:rPr>
                <w:rFonts w:hint="eastAsia" w:ascii="宋体"/>
                <w:bCs w:val="0"/>
                <w:spacing w:val="0"/>
                <w:sz w:val="20"/>
                <w:szCs w:val="20"/>
              </w:rPr>
              <w:t xml:space="preserve"> DB11/ 1354-2016</w:t>
            </w:r>
            <w:r>
              <w:rPr>
                <w:rFonts w:hint="eastAsia" w:ascii="宋体"/>
                <w:bCs w:val="0"/>
                <w:spacing w:val="0"/>
                <w:sz w:val="20"/>
                <w:szCs w:val="20"/>
              </w:rPr>
              <w:tab/>
            </w:r>
            <w:r>
              <w:rPr>
                <w:rFonts w:hint="eastAsia" w:ascii="宋体"/>
                <w:bCs w:val="0"/>
                <w:spacing w:val="0"/>
                <w:sz w:val="20"/>
                <w:szCs w:val="20"/>
              </w:rPr>
              <w:t xml:space="preserve"> 建筑消防设施检测评定规程</w:t>
            </w:r>
            <w:r>
              <w:rPr>
                <w:rFonts w:hint="eastAsia" w:ascii="宋体"/>
                <w:bCs w:val="0"/>
                <w:spacing w:val="0"/>
                <w:sz w:val="20"/>
                <w:szCs w:val="20"/>
              </w:rPr>
              <w:tab/>
            </w:r>
            <w:r>
              <w:rPr>
                <w:rFonts w:hint="eastAsia" w:ascii="宋体"/>
                <w:bCs w:val="0"/>
                <w:spacing w:val="0"/>
                <w:sz w:val="20"/>
                <w:szCs w:val="20"/>
              </w:rPr>
              <w:t>北京市质量技术监督局</w:t>
            </w:r>
            <w:r>
              <w:rPr>
                <w:rFonts w:hint="eastAsia" w:ascii="宋体"/>
                <w:bCs w:val="0"/>
                <w:spacing w:val="0"/>
                <w:sz w:val="20"/>
                <w:szCs w:val="20"/>
              </w:rPr>
              <w:tab/>
            </w:r>
            <w:r>
              <w:rPr>
                <w:rFonts w:hint="eastAsia" w:ascii="宋体"/>
                <w:bCs w:val="0"/>
                <w:spacing w:val="0"/>
                <w:sz w:val="20"/>
                <w:szCs w:val="20"/>
              </w:rPr>
              <w:t>2017-02-01</w:t>
            </w:r>
            <w:r>
              <w:rPr>
                <w:rFonts w:hint="eastAsia" w:ascii="宋体"/>
                <w:bCs w:val="0"/>
                <w:spacing w:val="0"/>
                <w:sz w:val="20"/>
                <w:szCs w:val="20"/>
              </w:rPr>
              <w:tab/>
            </w:r>
            <w:r>
              <w:rPr>
                <w:rFonts w:hint="eastAsia" w:ascii="宋体"/>
                <w:bCs w:val="0"/>
                <w:spacing w:val="0"/>
                <w:sz w:val="20"/>
                <w:szCs w:val="20"/>
              </w:rPr>
              <w:t>现行</w:t>
            </w:r>
          </w:p>
          <w:p>
            <w:pPr>
              <w:pStyle w:val="2"/>
              <w:rPr>
                <w:rFonts w:ascii="宋体"/>
                <w:bCs w:val="0"/>
                <w:spacing w:val="0"/>
                <w:sz w:val="20"/>
                <w:szCs w:val="20"/>
              </w:rPr>
            </w:pPr>
            <w:r>
              <w:rPr>
                <w:rFonts w:hint="eastAsia" w:ascii="宋体"/>
                <w:bCs w:val="0"/>
                <w:spacing w:val="0"/>
                <w:sz w:val="20"/>
                <w:szCs w:val="20"/>
              </w:rPr>
              <w:t xml:space="preserve"> DB11/ 791-2011</w:t>
            </w:r>
            <w:r>
              <w:rPr>
                <w:rFonts w:hint="eastAsia" w:ascii="宋体"/>
                <w:bCs w:val="0"/>
                <w:spacing w:val="0"/>
                <w:sz w:val="20"/>
                <w:szCs w:val="20"/>
              </w:rPr>
              <w:tab/>
            </w:r>
            <w:r>
              <w:rPr>
                <w:rFonts w:hint="eastAsia" w:ascii="宋体"/>
                <w:bCs w:val="0"/>
                <w:spacing w:val="0"/>
                <w:sz w:val="20"/>
                <w:szCs w:val="20"/>
              </w:rPr>
              <w:t xml:space="preserve"> 文物建筑消防设施设置规范</w:t>
            </w:r>
            <w:r>
              <w:rPr>
                <w:rFonts w:hint="eastAsia" w:ascii="宋体"/>
                <w:bCs w:val="0"/>
                <w:spacing w:val="0"/>
                <w:sz w:val="20"/>
                <w:szCs w:val="20"/>
              </w:rPr>
              <w:tab/>
            </w:r>
            <w:r>
              <w:rPr>
                <w:rFonts w:hint="eastAsia" w:ascii="宋体"/>
                <w:bCs w:val="0"/>
                <w:spacing w:val="0"/>
                <w:sz w:val="20"/>
                <w:szCs w:val="20"/>
              </w:rPr>
              <w:t>北京市质量技术监督局</w:t>
            </w:r>
            <w:r>
              <w:rPr>
                <w:rFonts w:hint="eastAsia" w:ascii="宋体"/>
                <w:bCs w:val="0"/>
                <w:spacing w:val="0"/>
                <w:sz w:val="20"/>
                <w:szCs w:val="20"/>
              </w:rPr>
              <w:tab/>
            </w:r>
            <w:r>
              <w:rPr>
                <w:rFonts w:hint="eastAsia" w:ascii="宋体"/>
                <w:bCs w:val="0"/>
                <w:spacing w:val="0"/>
                <w:sz w:val="20"/>
                <w:szCs w:val="20"/>
              </w:rPr>
              <w:t>2011-11-01</w:t>
            </w:r>
            <w:r>
              <w:rPr>
                <w:rFonts w:hint="eastAsia" w:ascii="宋体"/>
                <w:bCs w:val="0"/>
                <w:spacing w:val="0"/>
                <w:sz w:val="20"/>
                <w:szCs w:val="20"/>
              </w:rPr>
              <w:tab/>
            </w:r>
            <w:r>
              <w:rPr>
                <w:rFonts w:hint="eastAsia" w:ascii="宋体"/>
                <w:bCs w:val="0"/>
                <w:spacing w:val="0"/>
                <w:sz w:val="20"/>
                <w:szCs w:val="20"/>
              </w:rPr>
              <w:t>现行</w:t>
            </w:r>
          </w:p>
          <w:p>
            <w:pPr>
              <w:pStyle w:val="2"/>
              <w:rPr>
                <w:rFonts w:ascii="宋体"/>
                <w:bCs w:val="0"/>
                <w:spacing w:val="0"/>
                <w:sz w:val="20"/>
                <w:szCs w:val="20"/>
              </w:rPr>
            </w:pPr>
            <w:r>
              <w:rPr>
                <w:rFonts w:hint="eastAsia" w:ascii="宋体"/>
                <w:bCs w:val="0"/>
                <w:spacing w:val="0"/>
                <w:sz w:val="20"/>
                <w:szCs w:val="20"/>
              </w:rPr>
              <w:t>GA 503-2004</w:t>
            </w:r>
            <w:r>
              <w:rPr>
                <w:rFonts w:hint="eastAsia" w:ascii="宋体"/>
                <w:bCs w:val="0"/>
                <w:spacing w:val="0"/>
                <w:sz w:val="20"/>
                <w:szCs w:val="20"/>
              </w:rPr>
              <w:tab/>
            </w:r>
            <w:r>
              <w:rPr>
                <w:rFonts w:hint="eastAsia" w:ascii="宋体"/>
                <w:bCs w:val="0"/>
                <w:spacing w:val="0"/>
                <w:sz w:val="20"/>
                <w:szCs w:val="20"/>
              </w:rPr>
              <w:t xml:space="preserve"> 建筑消防设施检测技术规程</w:t>
            </w:r>
            <w:r>
              <w:rPr>
                <w:rFonts w:hint="eastAsia" w:ascii="宋体"/>
                <w:bCs w:val="0"/>
                <w:spacing w:val="0"/>
                <w:sz w:val="20"/>
                <w:szCs w:val="20"/>
              </w:rPr>
              <w:tab/>
            </w:r>
            <w:r>
              <w:rPr>
                <w:rFonts w:hint="eastAsia" w:ascii="宋体"/>
                <w:bCs w:val="0"/>
                <w:spacing w:val="0"/>
                <w:sz w:val="20"/>
                <w:szCs w:val="20"/>
              </w:rPr>
              <w:t>公安部</w:t>
            </w:r>
            <w:r>
              <w:rPr>
                <w:rFonts w:hint="eastAsia" w:ascii="宋体"/>
                <w:bCs w:val="0"/>
                <w:spacing w:val="0"/>
                <w:sz w:val="20"/>
                <w:szCs w:val="20"/>
              </w:rPr>
              <w:tab/>
            </w:r>
            <w:r>
              <w:rPr>
                <w:rFonts w:hint="eastAsia" w:ascii="宋体"/>
                <w:bCs w:val="0"/>
                <w:spacing w:val="0"/>
                <w:sz w:val="20"/>
                <w:szCs w:val="20"/>
              </w:rPr>
              <w:t>2004-10-01</w:t>
            </w:r>
            <w:r>
              <w:rPr>
                <w:rFonts w:hint="eastAsia" w:ascii="宋体"/>
                <w:bCs w:val="0"/>
                <w:spacing w:val="0"/>
                <w:sz w:val="20"/>
                <w:szCs w:val="20"/>
              </w:rPr>
              <w:tab/>
            </w:r>
            <w:r>
              <w:rPr>
                <w:rFonts w:hint="eastAsia" w:ascii="宋体"/>
                <w:bCs w:val="0"/>
                <w:spacing w:val="0"/>
                <w:sz w:val="20"/>
                <w:szCs w:val="20"/>
              </w:rPr>
              <w:t>现行</w:t>
            </w:r>
          </w:p>
          <w:p>
            <w:pPr>
              <w:pStyle w:val="2"/>
              <w:rPr>
                <w:rFonts w:ascii="宋体"/>
                <w:bCs w:val="0"/>
                <w:spacing w:val="0"/>
                <w:sz w:val="20"/>
                <w:szCs w:val="20"/>
              </w:rPr>
            </w:pPr>
            <w:r>
              <w:rPr>
                <w:rFonts w:hint="eastAsia" w:ascii="宋体"/>
                <w:bCs w:val="0"/>
                <w:spacing w:val="0"/>
                <w:sz w:val="20"/>
                <w:szCs w:val="20"/>
              </w:rPr>
              <w:t xml:space="preserve"> GA/T 974.54-2011</w:t>
            </w:r>
            <w:r>
              <w:rPr>
                <w:rFonts w:hint="eastAsia" w:ascii="宋体"/>
                <w:bCs w:val="0"/>
                <w:spacing w:val="0"/>
                <w:sz w:val="20"/>
                <w:szCs w:val="20"/>
              </w:rPr>
              <w:tab/>
            </w:r>
            <w:r>
              <w:rPr>
                <w:rFonts w:hint="eastAsia" w:ascii="宋体"/>
                <w:bCs w:val="0"/>
                <w:spacing w:val="0"/>
                <w:sz w:val="20"/>
                <w:szCs w:val="20"/>
              </w:rPr>
              <w:t xml:space="preserve"> 消防信息代码 第54部分：消防设施状况分类与代码</w:t>
            </w:r>
            <w:r>
              <w:rPr>
                <w:rFonts w:hint="eastAsia" w:ascii="宋体"/>
                <w:bCs w:val="0"/>
                <w:spacing w:val="0"/>
                <w:sz w:val="20"/>
                <w:szCs w:val="20"/>
              </w:rPr>
              <w:tab/>
            </w:r>
            <w:r>
              <w:rPr>
                <w:rFonts w:hint="eastAsia" w:ascii="宋体"/>
                <w:bCs w:val="0"/>
                <w:spacing w:val="0"/>
                <w:sz w:val="20"/>
                <w:szCs w:val="20"/>
              </w:rPr>
              <w:t>公安部</w:t>
            </w:r>
            <w:r>
              <w:rPr>
                <w:rFonts w:hint="eastAsia" w:ascii="宋体"/>
                <w:bCs w:val="0"/>
                <w:spacing w:val="0"/>
                <w:sz w:val="20"/>
                <w:szCs w:val="20"/>
              </w:rPr>
              <w:tab/>
            </w:r>
            <w:r>
              <w:rPr>
                <w:rFonts w:hint="eastAsia" w:ascii="宋体"/>
                <w:bCs w:val="0"/>
                <w:spacing w:val="0"/>
                <w:sz w:val="20"/>
                <w:szCs w:val="20"/>
              </w:rPr>
              <w:t>2011-12-12</w:t>
            </w:r>
            <w:r>
              <w:rPr>
                <w:rFonts w:hint="eastAsia" w:ascii="宋体"/>
                <w:bCs w:val="0"/>
                <w:spacing w:val="0"/>
                <w:sz w:val="20"/>
                <w:szCs w:val="20"/>
              </w:rPr>
              <w:tab/>
            </w:r>
            <w:r>
              <w:rPr>
                <w:rFonts w:hint="eastAsia" w:ascii="宋体"/>
                <w:bCs w:val="0"/>
                <w:spacing w:val="0"/>
                <w:sz w:val="20"/>
                <w:szCs w:val="20"/>
              </w:rPr>
              <w:t>现行</w:t>
            </w:r>
          </w:p>
          <w:p>
            <w:pPr>
              <w:pStyle w:val="2"/>
              <w:rPr>
                <w:rFonts w:ascii="宋体"/>
                <w:bCs w:val="0"/>
                <w:spacing w:val="0"/>
                <w:sz w:val="20"/>
                <w:szCs w:val="20"/>
              </w:rPr>
            </w:pPr>
            <w:r>
              <w:rPr>
                <w:rFonts w:hint="eastAsia" w:ascii="宋体"/>
                <w:bCs w:val="0"/>
                <w:spacing w:val="0"/>
                <w:sz w:val="20"/>
                <w:szCs w:val="20"/>
              </w:rPr>
              <w:t xml:space="preserve"> GA/T 974.55-2011</w:t>
            </w:r>
            <w:r>
              <w:rPr>
                <w:rFonts w:hint="eastAsia" w:ascii="宋体"/>
                <w:bCs w:val="0"/>
                <w:spacing w:val="0"/>
                <w:sz w:val="20"/>
                <w:szCs w:val="20"/>
              </w:rPr>
              <w:tab/>
            </w:r>
            <w:r>
              <w:rPr>
                <w:rFonts w:hint="eastAsia" w:ascii="宋体"/>
                <w:bCs w:val="0"/>
                <w:spacing w:val="0"/>
                <w:sz w:val="20"/>
                <w:szCs w:val="20"/>
              </w:rPr>
              <w:t xml:space="preserve"> 消防信息代码 第55部分：消防设施类别代码</w:t>
            </w:r>
            <w:r>
              <w:rPr>
                <w:rFonts w:hint="eastAsia" w:ascii="宋体"/>
                <w:bCs w:val="0"/>
                <w:spacing w:val="0"/>
                <w:sz w:val="20"/>
                <w:szCs w:val="20"/>
              </w:rPr>
              <w:tab/>
            </w:r>
            <w:r>
              <w:rPr>
                <w:rFonts w:hint="eastAsia" w:ascii="宋体"/>
                <w:bCs w:val="0"/>
                <w:spacing w:val="0"/>
                <w:sz w:val="20"/>
                <w:szCs w:val="20"/>
              </w:rPr>
              <w:t>公安部</w:t>
            </w:r>
            <w:r>
              <w:rPr>
                <w:rFonts w:hint="eastAsia" w:ascii="宋体"/>
                <w:bCs w:val="0"/>
                <w:spacing w:val="0"/>
                <w:sz w:val="20"/>
                <w:szCs w:val="20"/>
              </w:rPr>
              <w:tab/>
            </w:r>
            <w:r>
              <w:rPr>
                <w:rFonts w:hint="eastAsia" w:ascii="宋体"/>
                <w:bCs w:val="0"/>
                <w:spacing w:val="0"/>
                <w:sz w:val="20"/>
                <w:szCs w:val="20"/>
              </w:rPr>
              <w:t>2011-12-12</w:t>
            </w:r>
            <w:r>
              <w:rPr>
                <w:rFonts w:hint="eastAsia" w:ascii="宋体"/>
                <w:bCs w:val="0"/>
                <w:spacing w:val="0"/>
                <w:sz w:val="20"/>
                <w:szCs w:val="20"/>
              </w:rPr>
              <w:tab/>
            </w:r>
            <w:r>
              <w:rPr>
                <w:rFonts w:hint="eastAsia" w:ascii="宋体"/>
                <w:bCs w:val="0"/>
                <w:spacing w:val="0"/>
                <w:sz w:val="20"/>
                <w:szCs w:val="20"/>
              </w:rPr>
              <w:t>现行</w:t>
            </w:r>
          </w:p>
          <w:p>
            <w:pPr>
              <w:pStyle w:val="2"/>
              <w:rPr>
                <w:rFonts w:ascii="宋体"/>
                <w:bCs w:val="0"/>
                <w:spacing w:val="0"/>
                <w:sz w:val="20"/>
                <w:szCs w:val="20"/>
              </w:rPr>
            </w:pPr>
            <w:r>
              <w:rPr>
                <w:rFonts w:hint="eastAsia" w:ascii="宋体"/>
                <w:bCs w:val="0"/>
                <w:spacing w:val="0"/>
                <w:sz w:val="20"/>
                <w:szCs w:val="20"/>
              </w:rPr>
              <w:t xml:space="preserve"> GB 25201-2010</w:t>
            </w:r>
            <w:r>
              <w:rPr>
                <w:rFonts w:hint="eastAsia" w:ascii="宋体"/>
                <w:bCs w:val="0"/>
                <w:spacing w:val="0"/>
                <w:sz w:val="20"/>
                <w:szCs w:val="20"/>
              </w:rPr>
              <w:tab/>
            </w:r>
            <w:r>
              <w:rPr>
                <w:rFonts w:hint="eastAsia" w:ascii="宋体"/>
                <w:bCs w:val="0"/>
                <w:spacing w:val="0"/>
                <w:sz w:val="20"/>
                <w:szCs w:val="20"/>
              </w:rPr>
              <w:t xml:space="preserve"> 建筑消防设施的维护管理</w:t>
            </w:r>
            <w:r>
              <w:rPr>
                <w:rFonts w:hint="eastAsia" w:ascii="宋体"/>
                <w:bCs w:val="0"/>
                <w:spacing w:val="0"/>
                <w:sz w:val="20"/>
                <w:szCs w:val="20"/>
              </w:rPr>
              <w:tab/>
            </w:r>
            <w:r>
              <w:rPr>
                <w:rFonts w:hint="eastAsia" w:ascii="宋体"/>
                <w:bCs w:val="0"/>
                <w:spacing w:val="0"/>
                <w:sz w:val="20"/>
                <w:szCs w:val="20"/>
              </w:rPr>
              <w:t>国家质量监督检验检疫.</w:t>
            </w:r>
            <w:r>
              <w:rPr>
                <w:rFonts w:hint="eastAsia" w:ascii="宋体"/>
                <w:bCs w:val="0"/>
                <w:spacing w:val="0"/>
                <w:sz w:val="20"/>
                <w:szCs w:val="20"/>
              </w:rPr>
              <w:tab/>
            </w:r>
            <w:r>
              <w:rPr>
                <w:rFonts w:hint="eastAsia" w:ascii="宋体"/>
                <w:bCs w:val="0"/>
                <w:spacing w:val="0"/>
                <w:sz w:val="20"/>
                <w:szCs w:val="20"/>
              </w:rPr>
              <w:t>2011-03-01</w:t>
            </w:r>
            <w:r>
              <w:rPr>
                <w:rFonts w:hint="eastAsia" w:ascii="宋体"/>
                <w:bCs w:val="0"/>
                <w:spacing w:val="0"/>
                <w:sz w:val="20"/>
                <w:szCs w:val="20"/>
              </w:rPr>
              <w:tab/>
            </w:r>
            <w:r>
              <w:rPr>
                <w:rFonts w:hint="eastAsia" w:ascii="宋体"/>
                <w:bCs w:val="0"/>
                <w:spacing w:val="0"/>
                <w:sz w:val="20"/>
                <w:szCs w:val="20"/>
              </w:rPr>
              <w:t>现行</w:t>
            </w:r>
          </w:p>
          <w:p>
            <w:pPr>
              <w:pStyle w:val="2"/>
              <w:rPr>
                <w:rFonts w:ascii="宋体"/>
                <w:bCs w:val="0"/>
                <w:spacing w:val="0"/>
                <w:sz w:val="20"/>
                <w:szCs w:val="20"/>
              </w:rPr>
            </w:pPr>
            <w:r>
              <w:rPr>
                <w:rFonts w:hint="eastAsia" w:ascii="宋体"/>
                <w:bCs w:val="0"/>
                <w:spacing w:val="0"/>
                <w:sz w:val="20"/>
                <w:szCs w:val="20"/>
              </w:rPr>
              <w:t xml:space="preserve"> GB/T 26875.7-2015</w:t>
            </w:r>
            <w:r>
              <w:rPr>
                <w:rFonts w:hint="eastAsia" w:ascii="宋体"/>
                <w:bCs w:val="0"/>
                <w:spacing w:val="0"/>
                <w:sz w:val="20"/>
                <w:szCs w:val="20"/>
              </w:rPr>
              <w:tab/>
            </w:r>
            <w:r>
              <w:rPr>
                <w:rFonts w:hint="eastAsia" w:ascii="宋体"/>
                <w:bCs w:val="0"/>
                <w:spacing w:val="0"/>
                <w:sz w:val="20"/>
                <w:szCs w:val="20"/>
              </w:rPr>
              <w:t xml:space="preserve"> 城市消防远程监控系统 第7部分：消防设施维护管理软件功能要求</w:t>
            </w:r>
            <w:r>
              <w:rPr>
                <w:rFonts w:hint="eastAsia" w:ascii="宋体"/>
                <w:bCs w:val="0"/>
                <w:spacing w:val="0"/>
                <w:sz w:val="20"/>
                <w:szCs w:val="20"/>
              </w:rPr>
              <w:tab/>
            </w:r>
            <w:r>
              <w:rPr>
                <w:rFonts w:hint="eastAsia" w:ascii="宋体"/>
                <w:bCs w:val="0"/>
                <w:spacing w:val="0"/>
                <w:sz w:val="20"/>
                <w:szCs w:val="20"/>
              </w:rPr>
              <w:t>国家质量监督检验检疫.</w:t>
            </w:r>
            <w:r>
              <w:rPr>
                <w:rFonts w:hint="eastAsia" w:ascii="宋体"/>
                <w:bCs w:val="0"/>
                <w:spacing w:val="0"/>
                <w:sz w:val="20"/>
                <w:szCs w:val="20"/>
              </w:rPr>
              <w:tab/>
            </w:r>
            <w:r>
              <w:rPr>
                <w:rFonts w:hint="eastAsia" w:ascii="宋体"/>
                <w:bCs w:val="0"/>
                <w:spacing w:val="0"/>
                <w:sz w:val="20"/>
                <w:szCs w:val="20"/>
              </w:rPr>
              <w:t>2016-02-01</w:t>
            </w:r>
            <w:r>
              <w:rPr>
                <w:rFonts w:hint="eastAsia" w:ascii="宋体"/>
                <w:bCs w:val="0"/>
                <w:spacing w:val="0"/>
                <w:sz w:val="20"/>
                <w:szCs w:val="20"/>
              </w:rPr>
              <w:tab/>
            </w:r>
            <w:r>
              <w:rPr>
                <w:rFonts w:hint="eastAsia" w:ascii="宋体"/>
                <w:bCs w:val="0"/>
                <w:spacing w:val="0"/>
                <w:sz w:val="20"/>
                <w:szCs w:val="20"/>
              </w:rPr>
              <w:t>现行</w:t>
            </w:r>
          </w:p>
          <w:p>
            <w:pPr>
              <w:pStyle w:val="2"/>
              <w:rPr>
                <w:rFonts w:ascii="宋体"/>
                <w:bCs w:val="0"/>
                <w:spacing w:val="0"/>
                <w:sz w:val="20"/>
                <w:szCs w:val="20"/>
              </w:rPr>
            </w:pPr>
            <w:r>
              <w:rPr>
                <w:rFonts w:hint="eastAsia" w:ascii="宋体"/>
                <w:bCs w:val="0"/>
                <w:spacing w:val="0"/>
                <w:sz w:val="20"/>
                <w:szCs w:val="20"/>
              </w:rPr>
              <w:t>CB* 394-1988</w:t>
            </w:r>
            <w:r>
              <w:rPr>
                <w:rFonts w:hint="eastAsia" w:ascii="宋体"/>
                <w:bCs w:val="0"/>
                <w:spacing w:val="0"/>
                <w:sz w:val="20"/>
                <w:szCs w:val="20"/>
              </w:rPr>
              <w:tab/>
            </w:r>
            <w:r>
              <w:rPr>
                <w:rFonts w:hint="eastAsia" w:ascii="宋体"/>
                <w:bCs w:val="0"/>
                <w:spacing w:val="0"/>
                <w:sz w:val="20"/>
                <w:szCs w:val="20"/>
              </w:rPr>
              <w:t xml:space="preserve"> 冷压电线电缆接头</w:t>
            </w:r>
            <w:r>
              <w:rPr>
                <w:rFonts w:hint="eastAsia" w:ascii="宋体"/>
                <w:bCs w:val="0"/>
                <w:spacing w:val="0"/>
                <w:sz w:val="20"/>
                <w:szCs w:val="20"/>
              </w:rPr>
              <w:tab/>
            </w:r>
            <w:r>
              <w:rPr>
                <w:rFonts w:hint="eastAsia" w:ascii="宋体"/>
                <w:bCs w:val="0"/>
                <w:spacing w:val="0"/>
                <w:sz w:val="20"/>
                <w:szCs w:val="20"/>
              </w:rPr>
              <w:tab/>
            </w:r>
            <w:r>
              <w:rPr>
                <w:rFonts w:hint="eastAsia" w:ascii="宋体"/>
                <w:bCs w:val="0"/>
                <w:spacing w:val="0"/>
                <w:sz w:val="20"/>
                <w:szCs w:val="20"/>
              </w:rPr>
              <w:t>1989-05-01</w:t>
            </w:r>
            <w:r>
              <w:rPr>
                <w:rFonts w:hint="eastAsia" w:ascii="宋体"/>
                <w:bCs w:val="0"/>
                <w:spacing w:val="0"/>
                <w:sz w:val="20"/>
                <w:szCs w:val="20"/>
              </w:rPr>
              <w:tab/>
            </w:r>
            <w:r>
              <w:rPr>
                <w:rFonts w:hint="eastAsia" w:ascii="宋体"/>
                <w:bCs w:val="0"/>
                <w:spacing w:val="0"/>
                <w:sz w:val="20"/>
                <w:szCs w:val="20"/>
              </w:rPr>
              <w:t>现行</w:t>
            </w:r>
          </w:p>
          <w:p>
            <w:pPr>
              <w:pStyle w:val="2"/>
              <w:rPr>
                <w:rFonts w:ascii="宋体"/>
                <w:bCs w:val="0"/>
                <w:spacing w:val="0"/>
                <w:sz w:val="20"/>
                <w:szCs w:val="20"/>
              </w:rPr>
            </w:pPr>
            <w:r>
              <w:rPr>
                <w:rFonts w:hint="eastAsia" w:ascii="宋体"/>
                <w:bCs w:val="0"/>
                <w:spacing w:val="0"/>
                <w:sz w:val="20"/>
                <w:szCs w:val="20"/>
              </w:rPr>
              <w:t xml:space="preserve"> CB*/Z 89-1988</w:t>
            </w:r>
            <w:r>
              <w:rPr>
                <w:rFonts w:hint="eastAsia" w:ascii="宋体"/>
                <w:bCs w:val="0"/>
                <w:spacing w:val="0"/>
                <w:sz w:val="20"/>
                <w:szCs w:val="20"/>
              </w:rPr>
              <w:tab/>
            </w:r>
            <w:r>
              <w:rPr>
                <w:rFonts w:hint="eastAsia" w:ascii="宋体"/>
                <w:bCs w:val="0"/>
                <w:spacing w:val="0"/>
                <w:sz w:val="20"/>
                <w:szCs w:val="20"/>
              </w:rPr>
              <w:t xml:space="preserve"> 电线电缆冷压连接技术条件</w:t>
            </w:r>
            <w:r>
              <w:rPr>
                <w:rFonts w:hint="eastAsia" w:ascii="宋体"/>
                <w:bCs w:val="0"/>
                <w:spacing w:val="0"/>
                <w:sz w:val="20"/>
                <w:szCs w:val="20"/>
              </w:rPr>
              <w:tab/>
            </w:r>
            <w:r>
              <w:rPr>
                <w:rFonts w:hint="eastAsia" w:ascii="宋体"/>
                <w:bCs w:val="0"/>
                <w:spacing w:val="0"/>
                <w:sz w:val="20"/>
                <w:szCs w:val="20"/>
              </w:rPr>
              <w:tab/>
            </w:r>
            <w:r>
              <w:rPr>
                <w:rFonts w:hint="eastAsia" w:ascii="宋体"/>
                <w:bCs w:val="0"/>
                <w:spacing w:val="0"/>
                <w:sz w:val="20"/>
                <w:szCs w:val="20"/>
              </w:rPr>
              <w:t>1988-11-19</w:t>
            </w:r>
            <w:r>
              <w:rPr>
                <w:rFonts w:hint="eastAsia" w:ascii="宋体"/>
                <w:bCs w:val="0"/>
                <w:spacing w:val="0"/>
                <w:sz w:val="20"/>
                <w:szCs w:val="20"/>
              </w:rPr>
              <w:tab/>
            </w:r>
            <w:r>
              <w:rPr>
                <w:rFonts w:hint="eastAsia" w:ascii="宋体"/>
                <w:bCs w:val="0"/>
                <w:spacing w:val="0"/>
                <w:sz w:val="20"/>
                <w:szCs w:val="20"/>
              </w:rPr>
              <w:t>现行</w:t>
            </w:r>
          </w:p>
          <w:p>
            <w:pPr>
              <w:pStyle w:val="2"/>
              <w:rPr>
                <w:rFonts w:ascii="宋体"/>
                <w:bCs w:val="0"/>
                <w:spacing w:val="0"/>
                <w:sz w:val="20"/>
                <w:szCs w:val="20"/>
              </w:rPr>
            </w:pPr>
            <w:r>
              <w:rPr>
                <w:rFonts w:hint="eastAsia" w:ascii="宋体"/>
                <w:bCs w:val="0"/>
                <w:spacing w:val="0"/>
                <w:sz w:val="20"/>
                <w:szCs w:val="20"/>
              </w:rPr>
              <w:t xml:space="preserve"> CNCA 01C-002-2007</w:t>
            </w:r>
            <w:r>
              <w:rPr>
                <w:rFonts w:hint="eastAsia" w:ascii="宋体"/>
                <w:bCs w:val="0"/>
                <w:spacing w:val="0"/>
                <w:sz w:val="20"/>
                <w:szCs w:val="20"/>
              </w:rPr>
              <w:tab/>
            </w:r>
            <w:r>
              <w:rPr>
                <w:rFonts w:hint="eastAsia" w:ascii="宋体"/>
                <w:bCs w:val="0"/>
                <w:spacing w:val="0"/>
                <w:sz w:val="20"/>
                <w:szCs w:val="20"/>
              </w:rPr>
              <w:t xml:space="preserve"> 电气电子产品强制性认证实施规则 电线电缆产品 电线电缆</w:t>
            </w:r>
            <w:r>
              <w:rPr>
                <w:rFonts w:hint="eastAsia" w:ascii="宋体"/>
                <w:bCs w:val="0"/>
                <w:spacing w:val="0"/>
                <w:sz w:val="20"/>
                <w:szCs w:val="20"/>
              </w:rPr>
              <w:tab/>
            </w:r>
            <w:r>
              <w:rPr>
                <w:rFonts w:hint="eastAsia" w:ascii="宋体"/>
                <w:bCs w:val="0"/>
                <w:spacing w:val="0"/>
                <w:sz w:val="20"/>
                <w:szCs w:val="20"/>
              </w:rPr>
              <w:tab/>
            </w:r>
            <w:r>
              <w:rPr>
                <w:rFonts w:hint="eastAsia" w:ascii="宋体"/>
                <w:bCs w:val="0"/>
                <w:spacing w:val="0"/>
                <w:sz w:val="20"/>
                <w:szCs w:val="20"/>
              </w:rPr>
              <w:tab/>
            </w:r>
            <w:r>
              <w:rPr>
                <w:rFonts w:hint="eastAsia" w:ascii="宋体"/>
                <w:bCs w:val="0"/>
                <w:spacing w:val="0"/>
                <w:sz w:val="20"/>
                <w:szCs w:val="20"/>
              </w:rPr>
              <w:t>现行</w:t>
            </w:r>
          </w:p>
          <w:p>
            <w:pPr>
              <w:pStyle w:val="2"/>
              <w:rPr>
                <w:rFonts w:ascii="宋体"/>
                <w:bCs w:val="0"/>
                <w:spacing w:val="0"/>
                <w:sz w:val="20"/>
                <w:szCs w:val="20"/>
              </w:rPr>
            </w:pPr>
            <w:r>
              <w:rPr>
                <w:rFonts w:hint="eastAsia" w:ascii="宋体"/>
                <w:bCs w:val="0"/>
                <w:spacing w:val="0"/>
                <w:sz w:val="20"/>
                <w:szCs w:val="20"/>
              </w:rPr>
              <w:t xml:space="preserve"> CNCA 01C-20001-2001</w:t>
            </w:r>
            <w:r>
              <w:rPr>
                <w:rFonts w:hint="eastAsia" w:ascii="宋体"/>
                <w:bCs w:val="0"/>
                <w:spacing w:val="0"/>
                <w:sz w:val="20"/>
                <w:szCs w:val="20"/>
              </w:rPr>
              <w:tab/>
            </w:r>
            <w:r>
              <w:rPr>
                <w:rFonts w:hint="eastAsia" w:ascii="宋体"/>
                <w:bCs w:val="0"/>
                <w:spacing w:val="0"/>
                <w:sz w:val="20"/>
                <w:szCs w:val="20"/>
              </w:rPr>
              <w:t xml:space="preserve"> 电气电子产品强制性认证实施规则 电线电缆产品 电线组件</w:t>
            </w:r>
            <w:r>
              <w:rPr>
                <w:rFonts w:hint="eastAsia" w:ascii="宋体"/>
                <w:bCs w:val="0"/>
                <w:spacing w:val="0"/>
                <w:sz w:val="20"/>
                <w:szCs w:val="20"/>
              </w:rPr>
              <w:tab/>
            </w:r>
            <w:r>
              <w:rPr>
                <w:rFonts w:hint="eastAsia" w:ascii="宋体"/>
                <w:bCs w:val="0"/>
                <w:spacing w:val="0"/>
                <w:sz w:val="20"/>
                <w:szCs w:val="20"/>
              </w:rPr>
              <w:tab/>
            </w:r>
            <w:r>
              <w:rPr>
                <w:rFonts w:hint="eastAsia" w:ascii="宋体"/>
                <w:bCs w:val="0"/>
                <w:spacing w:val="0"/>
                <w:sz w:val="20"/>
                <w:szCs w:val="20"/>
              </w:rPr>
              <w:t>2002-05-01</w:t>
            </w:r>
            <w:r>
              <w:rPr>
                <w:rFonts w:hint="eastAsia" w:ascii="宋体"/>
                <w:bCs w:val="0"/>
                <w:spacing w:val="0"/>
                <w:sz w:val="20"/>
                <w:szCs w:val="20"/>
              </w:rPr>
              <w:tab/>
            </w:r>
            <w:r>
              <w:rPr>
                <w:rFonts w:hint="eastAsia" w:ascii="宋体"/>
                <w:bCs w:val="0"/>
                <w:spacing w:val="0"/>
                <w:sz w:val="20"/>
                <w:szCs w:val="20"/>
              </w:rPr>
              <w:t xml:space="preserve"> GB/T 18380.11-2008</w:t>
            </w:r>
            <w:r>
              <w:rPr>
                <w:rFonts w:hint="eastAsia" w:ascii="宋体"/>
                <w:bCs w:val="0"/>
                <w:spacing w:val="0"/>
                <w:sz w:val="20"/>
                <w:szCs w:val="20"/>
              </w:rPr>
              <w:tab/>
            </w:r>
            <w:r>
              <w:rPr>
                <w:rFonts w:hint="eastAsia" w:ascii="宋体"/>
                <w:bCs w:val="0"/>
                <w:spacing w:val="0"/>
                <w:sz w:val="20"/>
                <w:szCs w:val="20"/>
              </w:rPr>
              <w:t xml:space="preserve"> 电缆和光缆在火焰条件下的燃烧试验 第11部分：单根绝缘电线电缆火焰垂直蔓延试验 试验装置</w:t>
            </w:r>
            <w:r>
              <w:rPr>
                <w:rFonts w:hint="eastAsia" w:ascii="宋体"/>
                <w:bCs w:val="0"/>
                <w:spacing w:val="0"/>
                <w:sz w:val="20"/>
                <w:szCs w:val="20"/>
              </w:rPr>
              <w:tab/>
            </w:r>
            <w:r>
              <w:rPr>
                <w:rFonts w:hint="eastAsia" w:ascii="宋体"/>
                <w:bCs w:val="0"/>
                <w:spacing w:val="0"/>
                <w:sz w:val="20"/>
                <w:szCs w:val="20"/>
              </w:rPr>
              <w:t>国家质量监督检验检疫.</w:t>
            </w:r>
            <w:r>
              <w:rPr>
                <w:rFonts w:hint="eastAsia" w:ascii="宋体"/>
                <w:bCs w:val="0"/>
                <w:spacing w:val="0"/>
                <w:sz w:val="20"/>
                <w:szCs w:val="20"/>
              </w:rPr>
              <w:tab/>
            </w:r>
            <w:r>
              <w:rPr>
                <w:rFonts w:hint="eastAsia" w:ascii="宋体"/>
                <w:bCs w:val="0"/>
                <w:spacing w:val="0"/>
                <w:sz w:val="20"/>
                <w:szCs w:val="20"/>
              </w:rPr>
              <w:t>2009-04-01</w:t>
            </w:r>
            <w:r>
              <w:rPr>
                <w:rFonts w:hint="eastAsia" w:ascii="宋体"/>
                <w:bCs w:val="0"/>
                <w:spacing w:val="0"/>
                <w:sz w:val="20"/>
                <w:szCs w:val="20"/>
              </w:rPr>
              <w:tab/>
            </w:r>
            <w:r>
              <w:rPr>
                <w:rFonts w:hint="eastAsia" w:ascii="宋体"/>
                <w:bCs w:val="0"/>
                <w:spacing w:val="0"/>
                <w:sz w:val="20"/>
                <w:szCs w:val="20"/>
              </w:rPr>
              <w:t>现行</w:t>
            </w:r>
          </w:p>
          <w:p>
            <w:pPr>
              <w:pStyle w:val="2"/>
              <w:rPr>
                <w:rFonts w:ascii="宋体"/>
                <w:bCs w:val="0"/>
                <w:spacing w:val="0"/>
                <w:sz w:val="20"/>
                <w:szCs w:val="20"/>
              </w:rPr>
            </w:pPr>
            <w:r>
              <w:rPr>
                <w:rFonts w:hint="eastAsia" w:ascii="宋体"/>
                <w:bCs w:val="0"/>
                <w:spacing w:val="0"/>
                <w:sz w:val="20"/>
                <w:szCs w:val="20"/>
              </w:rPr>
              <w:t xml:space="preserve"> GB/T 18380.12-2008</w:t>
            </w:r>
            <w:r>
              <w:rPr>
                <w:rFonts w:hint="eastAsia" w:ascii="宋体"/>
                <w:bCs w:val="0"/>
                <w:spacing w:val="0"/>
                <w:sz w:val="20"/>
                <w:szCs w:val="20"/>
              </w:rPr>
              <w:tab/>
            </w:r>
            <w:r>
              <w:rPr>
                <w:rFonts w:hint="eastAsia" w:ascii="宋体"/>
                <w:bCs w:val="0"/>
                <w:spacing w:val="0"/>
                <w:sz w:val="20"/>
                <w:szCs w:val="20"/>
              </w:rPr>
              <w:t xml:space="preserve"> 电缆和光缆在火焰条件下的燃烧试验 第12部分：单根绝缘电线电缆火焰垂直蔓延试验 1kW预混合型火焰试验方法</w:t>
            </w:r>
            <w:r>
              <w:rPr>
                <w:rFonts w:hint="eastAsia" w:ascii="宋体"/>
                <w:bCs w:val="0"/>
                <w:spacing w:val="0"/>
                <w:sz w:val="20"/>
                <w:szCs w:val="20"/>
              </w:rPr>
              <w:tab/>
            </w:r>
            <w:r>
              <w:rPr>
                <w:rFonts w:hint="eastAsia" w:ascii="宋体"/>
                <w:bCs w:val="0"/>
                <w:spacing w:val="0"/>
                <w:sz w:val="20"/>
                <w:szCs w:val="20"/>
              </w:rPr>
              <w:t>国家质量监督检验检疫.</w:t>
            </w:r>
            <w:r>
              <w:rPr>
                <w:rFonts w:hint="eastAsia" w:ascii="宋体"/>
                <w:bCs w:val="0"/>
                <w:spacing w:val="0"/>
                <w:sz w:val="20"/>
                <w:szCs w:val="20"/>
              </w:rPr>
              <w:tab/>
            </w:r>
            <w:r>
              <w:rPr>
                <w:rFonts w:hint="eastAsia" w:ascii="宋体"/>
                <w:bCs w:val="0"/>
                <w:spacing w:val="0"/>
                <w:sz w:val="20"/>
                <w:szCs w:val="20"/>
              </w:rPr>
              <w:t>2009-04-01</w:t>
            </w:r>
            <w:r>
              <w:rPr>
                <w:rFonts w:hint="eastAsia" w:ascii="宋体"/>
                <w:bCs w:val="0"/>
                <w:spacing w:val="0"/>
                <w:sz w:val="20"/>
                <w:szCs w:val="20"/>
              </w:rPr>
              <w:tab/>
            </w:r>
            <w:r>
              <w:rPr>
                <w:rFonts w:hint="eastAsia" w:ascii="宋体"/>
                <w:bCs w:val="0"/>
                <w:spacing w:val="0"/>
                <w:sz w:val="20"/>
                <w:szCs w:val="20"/>
              </w:rPr>
              <w:t>现行</w:t>
            </w:r>
          </w:p>
          <w:p>
            <w:pPr>
              <w:pStyle w:val="2"/>
              <w:rPr>
                <w:rFonts w:ascii="宋体"/>
                <w:bCs w:val="0"/>
                <w:spacing w:val="0"/>
                <w:sz w:val="20"/>
                <w:szCs w:val="20"/>
              </w:rPr>
            </w:pPr>
            <w:r>
              <w:rPr>
                <w:rFonts w:hint="eastAsia" w:ascii="宋体"/>
                <w:bCs w:val="0"/>
                <w:spacing w:val="0"/>
                <w:sz w:val="20"/>
                <w:szCs w:val="20"/>
              </w:rPr>
              <w:t xml:space="preserve"> GB/T 18380.13-2008</w:t>
            </w:r>
            <w:r>
              <w:rPr>
                <w:rFonts w:hint="eastAsia" w:ascii="宋体"/>
                <w:bCs w:val="0"/>
                <w:spacing w:val="0"/>
                <w:sz w:val="20"/>
                <w:szCs w:val="20"/>
              </w:rPr>
              <w:tab/>
            </w:r>
            <w:r>
              <w:rPr>
                <w:rFonts w:hint="eastAsia" w:ascii="宋体"/>
                <w:bCs w:val="0"/>
                <w:spacing w:val="0"/>
                <w:sz w:val="20"/>
                <w:szCs w:val="20"/>
              </w:rPr>
              <w:t xml:space="preserve"> 电缆和光缆在火焰条件下的燃烧试验 第13部分：单根绝缘电线电缆火焰垂直蔓延试验 测定燃烧的滴落(物)/微粒的试验方法</w:t>
            </w:r>
            <w:r>
              <w:rPr>
                <w:rFonts w:hint="eastAsia" w:ascii="宋体"/>
                <w:bCs w:val="0"/>
                <w:spacing w:val="0"/>
                <w:sz w:val="20"/>
                <w:szCs w:val="20"/>
              </w:rPr>
              <w:tab/>
            </w:r>
            <w:r>
              <w:rPr>
                <w:rFonts w:hint="eastAsia" w:ascii="宋体"/>
                <w:bCs w:val="0"/>
                <w:spacing w:val="0"/>
                <w:sz w:val="20"/>
                <w:szCs w:val="20"/>
              </w:rPr>
              <w:t>国家质量监督检验检疫.</w:t>
            </w:r>
            <w:r>
              <w:rPr>
                <w:rFonts w:hint="eastAsia" w:ascii="宋体"/>
                <w:bCs w:val="0"/>
                <w:spacing w:val="0"/>
                <w:sz w:val="20"/>
                <w:szCs w:val="20"/>
              </w:rPr>
              <w:tab/>
            </w:r>
            <w:r>
              <w:rPr>
                <w:rFonts w:hint="eastAsia" w:ascii="宋体"/>
                <w:bCs w:val="0"/>
                <w:spacing w:val="0"/>
                <w:sz w:val="20"/>
                <w:szCs w:val="20"/>
              </w:rPr>
              <w:t>2009-04-01</w:t>
            </w:r>
            <w:r>
              <w:rPr>
                <w:rFonts w:hint="eastAsia" w:ascii="宋体"/>
                <w:bCs w:val="0"/>
                <w:spacing w:val="0"/>
                <w:sz w:val="20"/>
                <w:szCs w:val="20"/>
              </w:rPr>
              <w:tab/>
            </w:r>
            <w:r>
              <w:rPr>
                <w:rFonts w:hint="eastAsia" w:ascii="宋体"/>
                <w:bCs w:val="0"/>
                <w:spacing w:val="0"/>
                <w:sz w:val="20"/>
                <w:szCs w:val="20"/>
              </w:rPr>
              <w:t>现行</w:t>
            </w:r>
          </w:p>
          <w:p>
            <w:pPr>
              <w:pStyle w:val="2"/>
              <w:rPr>
                <w:rFonts w:ascii="宋体"/>
                <w:bCs w:val="0"/>
                <w:spacing w:val="0"/>
                <w:sz w:val="20"/>
                <w:szCs w:val="20"/>
              </w:rPr>
            </w:pPr>
            <w:r>
              <w:rPr>
                <w:rFonts w:hint="eastAsia" w:ascii="宋体"/>
                <w:bCs w:val="0"/>
                <w:spacing w:val="0"/>
                <w:sz w:val="20"/>
                <w:szCs w:val="20"/>
              </w:rPr>
              <w:t xml:space="preserve"> GB/T 18380.21-2008</w:t>
            </w:r>
            <w:r>
              <w:rPr>
                <w:rFonts w:hint="eastAsia" w:ascii="宋体"/>
                <w:bCs w:val="0"/>
                <w:spacing w:val="0"/>
                <w:sz w:val="20"/>
                <w:szCs w:val="20"/>
              </w:rPr>
              <w:tab/>
            </w:r>
            <w:r>
              <w:rPr>
                <w:rFonts w:hint="eastAsia" w:ascii="宋体"/>
                <w:bCs w:val="0"/>
                <w:spacing w:val="0"/>
                <w:sz w:val="20"/>
                <w:szCs w:val="20"/>
              </w:rPr>
              <w:t xml:space="preserve"> 电缆和光缆在火焰条件下的燃烧试验 第21部分：单根绝缘细电线电缆火焰垂直蔓延试验 试验装置</w:t>
            </w:r>
            <w:r>
              <w:rPr>
                <w:rFonts w:hint="eastAsia" w:ascii="宋体"/>
                <w:bCs w:val="0"/>
                <w:spacing w:val="0"/>
                <w:sz w:val="20"/>
                <w:szCs w:val="20"/>
              </w:rPr>
              <w:tab/>
            </w:r>
            <w:r>
              <w:rPr>
                <w:rFonts w:hint="eastAsia" w:ascii="宋体"/>
                <w:bCs w:val="0"/>
                <w:spacing w:val="0"/>
                <w:sz w:val="20"/>
                <w:szCs w:val="20"/>
              </w:rPr>
              <w:t>国家质量监督检验检疫.</w:t>
            </w:r>
            <w:r>
              <w:rPr>
                <w:rFonts w:hint="eastAsia" w:ascii="宋体"/>
                <w:bCs w:val="0"/>
                <w:spacing w:val="0"/>
                <w:sz w:val="20"/>
                <w:szCs w:val="20"/>
              </w:rPr>
              <w:tab/>
            </w:r>
            <w:r>
              <w:rPr>
                <w:rFonts w:hint="eastAsia" w:ascii="宋体"/>
                <w:bCs w:val="0"/>
                <w:spacing w:val="0"/>
                <w:sz w:val="20"/>
                <w:szCs w:val="20"/>
              </w:rPr>
              <w:t>2009-04-01</w:t>
            </w:r>
            <w:r>
              <w:rPr>
                <w:rFonts w:hint="eastAsia" w:ascii="宋体"/>
                <w:bCs w:val="0"/>
                <w:spacing w:val="0"/>
                <w:sz w:val="20"/>
                <w:szCs w:val="20"/>
              </w:rPr>
              <w:tab/>
            </w:r>
            <w:r>
              <w:rPr>
                <w:rFonts w:hint="eastAsia" w:ascii="宋体"/>
                <w:bCs w:val="0"/>
                <w:spacing w:val="0"/>
                <w:sz w:val="20"/>
                <w:szCs w:val="20"/>
              </w:rPr>
              <w:t>现行</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10"/>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10"/>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bl>
    <w:p>
      <w:pPr>
        <w:snapToGrid w:val="0"/>
        <w:rPr>
          <w:rFonts w:hint="default" w:ascii="宋体" w:eastAsia="宋体"/>
          <w:b/>
          <w:sz w:val="22"/>
          <w:szCs w:val="22"/>
          <w:lang w:val="en-US" w:eastAsia="zh-CN"/>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ascii="宋体"/>
          <w:b/>
          <w:sz w:val="18"/>
          <w:szCs w:val="18"/>
          <w:lang w:val="en-US" w:eastAsia="zh-CN"/>
        </w:rPr>
        <w:t>李京田</w:t>
      </w:r>
      <w:r>
        <w:rPr>
          <w:rFonts w:ascii="宋体"/>
          <w:b/>
          <w:sz w:val="18"/>
          <w:szCs w:val="18"/>
        </w:rPr>
        <w:t xml:space="preserve">       </w:t>
      </w:r>
      <w:r>
        <w:rPr>
          <w:rFonts w:hint="eastAsia"/>
          <w:b/>
          <w:sz w:val="22"/>
          <w:szCs w:val="22"/>
        </w:rPr>
        <w:t>日期</w:t>
      </w:r>
      <w:r>
        <w:rPr>
          <w:rFonts w:hint="eastAsia"/>
          <w:b/>
          <w:sz w:val="18"/>
          <w:szCs w:val="18"/>
        </w:rPr>
        <w:t>：</w:t>
      </w:r>
      <w:r>
        <w:rPr>
          <w:rFonts w:ascii="宋体"/>
          <w:b/>
          <w:sz w:val="22"/>
          <w:szCs w:val="22"/>
        </w:rPr>
        <w:t xml:space="preserve">  </w:t>
      </w:r>
      <w:r>
        <w:rPr>
          <w:rFonts w:hint="eastAsia" w:ascii="宋体"/>
          <w:b/>
          <w:sz w:val="22"/>
          <w:szCs w:val="22"/>
          <w:lang w:val="en-US" w:eastAsia="zh-CN"/>
        </w:rPr>
        <w:t>2021.3.1</w:t>
      </w:r>
      <w:r>
        <w:rPr>
          <w:rFonts w:ascii="宋体"/>
          <w:b/>
          <w:sz w:val="22"/>
          <w:szCs w:val="22"/>
        </w:rPr>
        <w:t xml:space="preserve">   </w:t>
      </w:r>
      <w:r>
        <w:rPr>
          <w:rFonts w:hint="eastAsia" w:ascii="宋体"/>
          <w:b/>
          <w:sz w:val="22"/>
          <w:szCs w:val="22"/>
        </w:rPr>
        <w:t>审核组长</w:t>
      </w:r>
      <w:r>
        <w:rPr>
          <w:rFonts w:hint="eastAsia" w:ascii="宋体"/>
          <w:b/>
          <w:sz w:val="18"/>
          <w:szCs w:val="18"/>
        </w:rPr>
        <w:t>：</w:t>
      </w:r>
      <w:r>
        <w:rPr>
          <w:rFonts w:ascii="宋体"/>
          <w:b/>
          <w:sz w:val="18"/>
          <w:szCs w:val="18"/>
        </w:rPr>
        <w:t xml:space="preserve">  </w:t>
      </w:r>
      <w:r>
        <w:rPr>
          <w:rFonts w:hint="eastAsia" w:ascii="宋体"/>
          <w:b/>
          <w:sz w:val="18"/>
          <w:szCs w:val="18"/>
          <w:lang w:val="en-US" w:eastAsia="zh-CN"/>
        </w:rPr>
        <w:t>李京田</w:t>
      </w:r>
      <w:r>
        <w:rPr>
          <w:rFonts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2021.3.1</w:t>
      </w:r>
      <w:bookmarkStart w:id="6" w:name="_GoBack"/>
      <w:bookmarkEnd w:id="6"/>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文本框 1" o:spid="_x0000_s2050"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6</w:t>
                </w:r>
                <w:r>
                  <w:rPr>
                    <w:rFonts w:hint="eastAsia"/>
                    <w:sz w:val="18"/>
                    <w:szCs w:val="18"/>
                  </w:rPr>
                  <w:t xml:space="preserve"> 专业培训记录(03版)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FD2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1"/>
    <w:semiHidden/>
    <w:unhideWhenUsed/>
    <w:uiPriority w:val="99"/>
    <w:rPr>
      <w:sz w:val="18"/>
      <w:szCs w:val="18"/>
    </w:rPr>
  </w:style>
  <w:style w:type="paragraph" w:styleId="5">
    <w:name w:val="footer"/>
    <w:basedOn w:val="1"/>
    <w:link w:val="9"/>
    <w:uiPriority w:val="99"/>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9">
    <w:name w:val="页脚 字符"/>
    <w:link w:val="5"/>
    <w:locked/>
    <w:uiPriority w:val="99"/>
    <w:rPr>
      <w:rFonts w:ascii="Times New Roman" w:hAnsi="Times New Roman" w:eastAsia="宋体" w:cs="Times New Roman"/>
      <w:sz w:val="18"/>
      <w:szCs w:val="18"/>
    </w:rPr>
  </w:style>
  <w:style w:type="character" w:customStyle="1" w:styleId="10">
    <w:name w:val="页眉 字符"/>
    <w:link w:val="6"/>
    <w:locked/>
    <w:uiPriority w:val="99"/>
    <w:rPr>
      <w:rFonts w:ascii="Times New Roman" w:hAnsi="Times New Roman" w:eastAsia="宋体" w:cs="Times New Roman"/>
      <w:sz w:val="18"/>
      <w:szCs w:val="18"/>
    </w:rPr>
  </w:style>
  <w:style w:type="character" w:customStyle="1" w:styleId="11">
    <w:name w:val="批注框文本 字符"/>
    <w:link w:val="4"/>
    <w:semiHidden/>
    <w:uiPriority w:val="99"/>
    <w:rPr>
      <w:rFonts w:ascii="Times New Roman" w:hAnsi="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Words>
  <Characters>267</Characters>
  <Lines>2</Lines>
  <Paragraphs>1</Paragraphs>
  <TotalTime>1</TotalTime>
  <ScaleCrop>false</ScaleCrop>
  <LinksUpToDate>false</LinksUpToDate>
  <CharactersWithSpaces>312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2021-03-02T13:11:34Z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