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QMS  </w:t>
      </w:r>
      <w:r>
        <w:rPr>
          <w:rFonts w:hint="eastAsia"/>
          <w:b/>
          <w:sz w:val="22"/>
          <w:szCs w:val="22"/>
        </w:rPr>
        <w:sym w:font="Wingdings 2" w:char="0052"/>
      </w:r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0" w:name="E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EMS  </w:t>
      </w:r>
      <w:bookmarkStart w:id="1" w:name="S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b/>
          <w:sz w:val="22"/>
          <w:szCs w:val="22"/>
        </w:rPr>
        <w:t>OHSMS</w:t>
      </w:r>
      <w:bookmarkStart w:id="3" w:name="_GoBack"/>
      <w:bookmarkEnd w:id="3"/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bCs w:val="0"/>
                <w:sz w:val="20"/>
              </w:rPr>
            </w:pPr>
            <w:bookmarkStart w:id="2" w:name="组织名称"/>
            <w:r>
              <w:rPr>
                <w:b/>
                <w:bCs w:val="0"/>
                <w:sz w:val="20"/>
              </w:rPr>
              <w:t>四川鹤达石油化工工程有限公司</w:t>
            </w:r>
            <w:bookmarkEnd w:id="2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bCs w:val="0"/>
                <w:sz w:val="22"/>
                <w:szCs w:val="22"/>
              </w:rPr>
            </w:pPr>
            <w:r>
              <w:rPr>
                <w:rFonts w:hint="eastAsia"/>
                <w:b/>
                <w:bCs w:val="0"/>
                <w:sz w:val="22"/>
                <w:szCs w:val="22"/>
              </w:rPr>
              <w:t>专业小类</w:t>
            </w:r>
            <w:r>
              <w:rPr>
                <w:b/>
                <w:bCs w:val="0"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bCs w:val="0"/>
                <w:sz w:val="22"/>
                <w:szCs w:val="22"/>
              </w:rPr>
            </w:pPr>
            <w:r>
              <w:rPr>
                <w:rFonts w:hint="eastAsia"/>
                <w:b/>
                <w:bCs w:val="0"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bCs w:val="0"/>
                <w:sz w:val="20"/>
              </w:rPr>
            </w:pPr>
            <w:r>
              <w:rPr>
                <w:b/>
                <w:bCs w:val="0"/>
                <w:sz w:val="20"/>
              </w:rPr>
              <w:t>34.05.00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bCs w:val="0"/>
                <w:sz w:val="20"/>
              </w:rPr>
            </w:pPr>
            <w:r>
              <w:rPr>
                <w:rFonts w:hint="eastAsia"/>
                <w:b/>
                <w:bCs w:val="0"/>
                <w:sz w:val="20"/>
                <w:lang w:val="en-US" w:eastAsia="zh-CN"/>
              </w:rPr>
              <w:t>何军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bCs w:val="0"/>
                <w:sz w:val="22"/>
                <w:szCs w:val="22"/>
              </w:rPr>
            </w:pPr>
            <w:r>
              <w:rPr>
                <w:rFonts w:hint="eastAsia"/>
                <w:b/>
                <w:bCs w:val="0"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bCs w:val="0"/>
                <w:sz w:val="20"/>
              </w:rPr>
            </w:pPr>
            <w:r>
              <w:rPr>
                <w:b/>
                <w:bCs w:val="0"/>
                <w:sz w:val="20"/>
              </w:rPr>
              <w:t>34.05.00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bCs w:val="0"/>
                <w:sz w:val="22"/>
                <w:szCs w:val="22"/>
              </w:rPr>
            </w:pPr>
            <w:r>
              <w:rPr>
                <w:rFonts w:hint="eastAsia"/>
                <w:b/>
                <w:bCs w:val="0"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bCs w:val="0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bCs w:val="0"/>
                <w:sz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lang w:val="en-US" w:eastAsia="zh-CN"/>
              </w:rPr>
              <w:t>李凤仪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bCs w:val="0"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bCs w:val="0"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bCs w:val="0"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bCs w:val="0"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bCs w:val="0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bCs w:val="0"/>
                <w:sz w:val="20"/>
              </w:rPr>
            </w:pPr>
            <w:r>
              <w:rPr>
                <w:b/>
                <w:bCs w:val="0"/>
                <w:sz w:val="20"/>
              </w:rPr>
              <w:t>18.05.07,28.07.03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bCs w:val="0"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bCs w:val="0"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bCs w:val="0"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bCs w:val="0"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bCs w:val="0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石油化工过程工艺流程：合同签订---材料的到货清理-----辐射段制作、安装-----炉顶风道及炉顶板制作、安装----炉顶燃烧器安装---转化管系安装----对流段安装------烟囱制作安装----引风机安装----鼓风机安装----工艺管道安装----对流段顶部钢结构及屋面安装------转化炉钢结构整体面漆----转化炉竣工验收；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设计流程：签订合同--策划--设计输入</w:t>
            </w:r>
            <w:r>
              <w:rPr>
                <w:b/>
                <w:sz w:val="20"/>
              </w:rPr>
              <w:t>—</w:t>
            </w:r>
            <w:r>
              <w:rPr>
                <w:rFonts w:hint="eastAsia"/>
                <w:b/>
                <w:sz w:val="20"/>
              </w:rPr>
              <w:t>输出</w:t>
            </w:r>
            <w:r>
              <w:rPr>
                <w:b/>
                <w:sz w:val="20"/>
              </w:rPr>
              <w:t>—</w:t>
            </w:r>
            <w:r>
              <w:rPr>
                <w:rFonts w:hint="eastAsia"/>
                <w:b/>
                <w:sz w:val="20"/>
              </w:rPr>
              <w:t>设计控制</w:t>
            </w:r>
            <w:r>
              <w:rPr>
                <w:b/>
                <w:sz w:val="20"/>
              </w:rPr>
              <w:t>—</w:t>
            </w:r>
            <w:r>
              <w:rPr>
                <w:rFonts w:hint="eastAsia"/>
                <w:b/>
                <w:sz w:val="20"/>
              </w:rPr>
              <w:t>设计变更</w:t>
            </w:r>
            <w:r>
              <w:rPr>
                <w:b/>
                <w:sz w:val="20"/>
              </w:rPr>
              <w:t>—</w:t>
            </w:r>
            <w:r>
              <w:rPr>
                <w:rFonts w:hint="eastAsia"/>
                <w:b/>
                <w:sz w:val="20"/>
              </w:rPr>
              <w:t>交付及交付的活动；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化工专用设备生产工艺流程：合同签订----采购---材料检验---加工制作---检验---出厂；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关键过程：设计、生产和安装过程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特殊过程：焊接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制定作业指导书及特殊过程确认记录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《石油化工工程防渗技术规范》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GB50374-2006《石油化工工程减隔震（振）技术规范》 SH/T 3201-2018《石油化工工程地震破坏鉴定标准》GB 50992-2014；《高温承压用离心铸造合金炉管》HG/T2601-2011、《高温承压用静态铸造合金管件》HG/T 3673-2011GB50316-2000《工业金属管道设计规范》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GB150-2011《压力容器》、GB50235-2010《工业金属管道工程施工规范》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GB 50236-2011《现场设备、工业管道焊接工程施工规范》、《入口8寸管、上集气管、上猪尾管和转化管》技术协议、《E107-1、E107-3预热盘管更新及新增管道安装》技术协议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出厂质量检验报告及竣工验收报告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何军</w:t>
      </w:r>
      <w:r>
        <w:rPr>
          <w:rFonts w:ascii="宋体"/>
          <w:b/>
          <w:sz w:val="18"/>
          <w:szCs w:val="18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>20</w:t>
      </w:r>
      <w:r>
        <w:rPr>
          <w:rFonts w:hint="eastAsia" w:ascii="宋体"/>
          <w:b/>
          <w:sz w:val="22"/>
          <w:szCs w:val="22"/>
          <w:lang w:val="en-US" w:eastAsia="zh-CN"/>
        </w:rPr>
        <w:t>20</w:t>
      </w:r>
      <w:r>
        <w:rPr>
          <w:rFonts w:ascii="宋体"/>
          <w:b/>
          <w:sz w:val="22"/>
          <w:szCs w:val="22"/>
        </w:rPr>
        <w:t>.11.</w:t>
      </w:r>
      <w:r>
        <w:rPr>
          <w:rFonts w:hint="eastAsia" w:ascii="宋体"/>
          <w:b/>
          <w:sz w:val="22"/>
          <w:szCs w:val="22"/>
          <w:lang w:val="en-US" w:eastAsia="zh-CN"/>
        </w:rPr>
        <w:t>8</w:t>
      </w:r>
      <w:r>
        <w:rPr>
          <w:rFonts w:hint="eastAsia" w:ascii="宋体"/>
          <w:b/>
          <w:sz w:val="22"/>
          <w:szCs w:val="22"/>
        </w:rPr>
        <w:t xml:space="preserve">      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李凤仪</w:t>
      </w:r>
      <w:r>
        <w:rPr>
          <w:rFonts w:hint="eastAsia" w:ascii="宋体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>20</w:t>
      </w:r>
      <w:r>
        <w:rPr>
          <w:rFonts w:hint="eastAsia" w:ascii="宋体"/>
          <w:b/>
          <w:sz w:val="22"/>
          <w:szCs w:val="22"/>
          <w:lang w:val="en-US" w:eastAsia="zh-CN"/>
        </w:rPr>
        <w:t>20</w:t>
      </w:r>
      <w:r>
        <w:rPr>
          <w:rFonts w:ascii="宋体"/>
          <w:b/>
          <w:sz w:val="22"/>
          <w:szCs w:val="22"/>
        </w:rPr>
        <w:t>.11.</w:t>
      </w:r>
      <w:r>
        <w:rPr>
          <w:rFonts w:hint="eastAsia" w:ascii="宋体"/>
          <w:b/>
          <w:sz w:val="22"/>
          <w:szCs w:val="22"/>
          <w:lang w:val="en-US" w:eastAsia="zh-CN"/>
        </w:rPr>
        <w:t>8</w:t>
      </w:r>
      <w:r>
        <w:rPr>
          <w:rFonts w:hint="eastAsia" w:ascii="宋体"/>
          <w:b/>
          <w:sz w:val="22"/>
          <w:szCs w:val="22"/>
        </w:rPr>
        <w:t xml:space="preserve"> </w:t>
      </w: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EF6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李凤仪</cp:lastModifiedBy>
  <dcterms:modified xsi:type="dcterms:W3CDTF">2020-11-07T15:31:02Z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