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val="0"/>
          <w:bCs w:val="0"/>
          <w:sz w:val="21"/>
          <w:szCs w:val="21"/>
        </w:rPr>
        <w:t>0615-2020-QO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嘉兴正通塑业科技有限公司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Jiaxing Zhengtong Plastic Technology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浙江省嘉兴市嘉善县天凝镇东麟湖路7号2、3幢</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314109</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(英文)：Building 2 and 3, No.7, donglinhu Road, Tianning Town, Jiashan County, Jiaxing City, Zhejiang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浙江省嘉兴市嘉善县天凝镇东麟湖路7号2、3幢</w:t>
      </w:r>
      <w:bookmarkEnd w:id="5"/>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314109</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(英文)：Building 2 and 3, No.7, donglinhu Road, Tianning Town, Jiashan County, Jiaxing City, Zhejiang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91330421MA2JDQD45K</w:t>
      </w:r>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13857305205</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宋伟强</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熊延亮</w:t>
      </w:r>
      <w:bookmarkEnd w:id="11"/>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2" w:name="企业人数"/>
      <w:r>
        <w:rPr>
          <w:b w:val="0"/>
          <w:bCs/>
          <w:color w:val="000000" w:themeColor="text1"/>
          <w:sz w:val="22"/>
          <w:szCs w:val="22"/>
        </w:rPr>
        <w:t>45</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Q:二阶段,O:二阶段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Q：塑料管道管材（PVC-UH给水管、PE给水管、MPP电力通信管、PE燃气管、PE管件）的生产</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英文：Production of plastic pipe (pvc-uh water supply pipe, PE water supply pipe, MPP power communication pipe, PE gas pipe, PE pipe fitting)</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sz w:val="21"/>
          <w:szCs w:val="21"/>
        </w:rPr>
      </w:pPr>
      <w:r>
        <w:rPr>
          <w:rFonts w:hint="eastAsia"/>
          <w:b w:val="0"/>
          <w:bCs/>
          <w:color w:val="000000" w:themeColor="text1"/>
          <w:sz w:val="22"/>
          <w:szCs w:val="22"/>
        </w:rPr>
        <w:t>O：塑料管道管材（PVC-UH给水管、PE给水管、MPP电力通信管、PE燃气管、PE管件）的生产</w:t>
      </w:r>
      <w:bookmarkEnd w:id="15"/>
      <w:bookmarkStart w:id="16" w:name="审核范围英"/>
      <w:r>
        <w:rPr>
          <w:b w:val="0"/>
          <w:bCs/>
          <w:sz w:val="21"/>
          <w:szCs w:val="21"/>
        </w:rPr>
        <w:t>所涉及的相关职业健康安全管理活动</w:t>
      </w:r>
      <w:bookmarkEnd w:id="16"/>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val="0"/>
          <w:bCs/>
          <w:sz w:val="21"/>
          <w:szCs w:val="21"/>
          <w:lang w:val="en-US" w:eastAsia="zh-CN"/>
        </w:rPr>
      </w:pPr>
      <w:r>
        <w:rPr>
          <w:rFonts w:hint="eastAsia"/>
          <w:b w:val="0"/>
          <w:bCs/>
          <w:sz w:val="21"/>
          <w:szCs w:val="21"/>
          <w:lang w:val="en-US" w:eastAsia="zh-CN"/>
        </w:rPr>
        <w:t>英文：</w:t>
      </w:r>
      <w:r>
        <w:rPr>
          <w:rFonts w:hint="eastAsia"/>
          <w:b w:val="0"/>
          <w:bCs/>
          <w:color w:val="000000" w:themeColor="text1"/>
          <w:sz w:val="22"/>
          <w:szCs w:val="22"/>
          <w:lang w:val="en-US" w:eastAsia="zh-CN"/>
        </w:rPr>
        <w:t xml:space="preserve">The Relative Occupational Health Safety Management Activities about </w:t>
      </w:r>
      <w:r>
        <w:rPr>
          <w:rFonts w:hint="eastAsia"/>
          <w:b w:val="0"/>
          <w:bCs/>
          <w:sz w:val="21"/>
          <w:szCs w:val="21"/>
          <w:lang w:val="en-US" w:eastAsia="zh-CN"/>
        </w:rPr>
        <w:t>Production of plastic pipe (pvc-uh water supply pipe, PE water supply pipe, MPP power communication pipe, PE gas pipe, PE pipe fitting)</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eastAsia="宋体"/>
          <w:b w:val="0"/>
          <w:bCs/>
          <w:color w:val="000000" w:themeColor="text1"/>
          <w:sz w:val="22"/>
          <w:szCs w:val="22"/>
          <w:lang w:eastAsia="zh-CN"/>
        </w:rPr>
        <w:drawing>
          <wp:anchor distT="0" distB="0" distL="114300" distR="114300" simplePos="0" relativeHeight="251658240" behindDoc="0" locked="0" layoutInCell="1" allowOverlap="1">
            <wp:simplePos x="0" y="0"/>
            <wp:positionH relativeFrom="column">
              <wp:posOffset>3924300</wp:posOffset>
            </wp:positionH>
            <wp:positionV relativeFrom="paragraph">
              <wp:posOffset>57785</wp:posOffset>
            </wp:positionV>
            <wp:extent cx="1096645" cy="52832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1096645" cy="528320"/>
                    </a:xfrm>
                    <a:prstGeom prst="rect">
                      <a:avLst/>
                    </a:prstGeom>
                  </pic:spPr>
                </pic:pic>
              </a:graphicData>
            </a:graphic>
          </wp:anchor>
        </w:drawing>
      </w: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val="0"/>
          <w:bCs/>
          <w:color w:val="000000" w:themeColor="text1"/>
          <w:sz w:val="22"/>
          <w:szCs w:val="22"/>
          <w:lang w:eastAsia="zh-CN"/>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2020.11.13                                  </w:t>
      </w:r>
      <w:r>
        <w:rPr>
          <w:rFonts w:hint="eastAsia"/>
          <w:b w:val="0"/>
          <w:bCs/>
          <w:color w:val="000000" w:themeColor="text1"/>
          <w:sz w:val="22"/>
          <w:szCs w:val="22"/>
        </w:rPr>
        <w:t>日期：</w:t>
      </w:r>
      <w:r>
        <w:rPr>
          <w:rFonts w:hint="eastAsia"/>
          <w:b w:val="0"/>
          <w:bCs/>
          <w:color w:val="000000" w:themeColor="text1"/>
          <w:sz w:val="22"/>
          <w:szCs w:val="22"/>
          <w:lang w:val="en-US" w:eastAsia="zh-CN"/>
        </w:rPr>
        <w:t>2020.11.13</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2995" cy="8743950"/>
            <wp:effectExtent l="0" t="0" r="1905" b="6350"/>
            <wp:docPr id="3" name="图片 3" descr="S22BW-6i20111510210_页面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22BW-6i20111510210_页面_12"/>
                    <pic:cNvPicPr>
                      <a:picLocks noChangeAspect="1"/>
                    </pic:cNvPicPr>
                  </pic:nvPicPr>
                  <pic:blipFill>
                    <a:blip r:embed="rId11"/>
                    <a:stretch>
                      <a:fillRect/>
                    </a:stretch>
                  </pic:blipFill>
                  <pic:spPr>
                    <a:xfrm>
                      <a:off x="0" y="0"/>
                      <a:ext cx="6182995" cy="8743950"/>
                    </a:xfrm>
                    <a:prstGeom prst="rect">
                      <a:avLst/>
                    </a:prstGeom>
                  </pic:spPr>
                </pic:pic>
              </a:graphicData>
            </a:graphic>
          </wp:inline>
        </w:drawing>
      </w:r>
      <w:bookmarkStart w:id="17" w:name="_GoBack"/>
      <w:bookmarkEnd w:id="17"/>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E00CB"/>
    <w:multiLevelType w:val="singleLevel"/>
    <w:tmpl w:val="307E00C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474CF7"/>
    <w:rsid w:val="4CD80C12"/>
    <w:rsid w:val="66C918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2020-11-17T05:12:15Z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