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嘉兴正通塑业科技有限公司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0615-2020-QO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2995" cy="8743950"/>
            <wp:effectExtent l="0" t="0" r="1905" b="6350"/>
            <wp:docPr id="2" name="图片 2" descr="S22BW-6i20111510210_页面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22BW-6i20111510210_页面_10"/>
                    <pic:cNvPicPr>
                      <a:picLocks noChangeAspect="1"/>
                    </pic:cNvPicPr>
                  </pic:nvPicPr>
                  <pic:blipFill>
                    <a:blip r:embed="rId5"/>
                    <a:stretch>
                      <a:fillRect/>
                    </a:stretch>
                  </pic:blipFill>
                  <pic:spPr>
                    <a:xfrm>
                      <a:off x="0" y="0"/>
                      <a:ext cx="6182995" cy="874395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9F2E1A"/>
    <w:rsid w:val="56F64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2020-11-17T05:11:45Z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