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right"/>
        <w:rPr>
          <w:color w:val="000000"/>
        </w:rPr>
      </w:pPr>
      <w:r>
        <w:rPr>
          <w:rFonts w:hint="eastAsia" w:ascii="楷体" w:hAnsi="楷体" w:eastAsia="楷体"/>
          <w:color w:val="000000"/>
          <w:sz w:val="28"/>
          <w:szCs w:val="28"/>
        </w:rPr>
        <w:t>合同编号：</w:t>
      </w:r>
      <w:bookmarkStart w:id="0" w:name="合同编号"/>
      <w:r>
        <w:rPr>
          <w:color w:val="000000"/>
        </w:rPr>
        <w:t>06</w:t>
      </w:r>
      <w:r>
        <w:rPr>
          <w:rFonts w:hint="eastAsia"/>
          <w:color w:val="000000"/>
          <w:lang w:val="en-US" w:eastAsia="zh-CN"/>
        </w:rPr>
        <w:t>15</w:t>
      </w:r>
      <w:r>
        <w:rPr>
          <w:color w:val="000000"/>
        </w:rPr>
        <w:t>-2020-QO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嘉兴正通塑业科技有限公司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吉洁</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jc w:val="center"/>
              <w:rPr>
                <w:b w:val="0"/>
                <w:bCs w:val="0"/>
                <w:sz w:val="21"/>
                <w:szCs w:val="21"/>
              </w:rPr>
            </w:pPr>
            <w:r>
              <w:rPr>
                <w:b w:val="0"/>
                <w:bCs w:val="0"/>
                <w:sz w:val="21"/>
                <w:szCs w:val="21"/>
              </w:rPr>
              <w:t>Q：14.02.01</w:t>
            </w:r>
          </w:p>
          <w:p>
            <w:pPr>
              <w:spacing w:line="240" w:lineRule="exact"/>
              <w:jc w:val="center"/>
              <w:rPr>
                <w:b/>
                <w:color w:val="000000"/>
                <w:sz w:val="20"/>
                <w:szCs w:val="20"/>
              </w:rPr>
            </w:pPr>
            <w:r>
              <w:rPr>
                <w:b w:val="0"/>
                <w:bCs w:val="0"/>
                <w:sz w:val="21"/>
                <w:szCs w:val="21"/>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李蒙生</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hAnsi="宋体"/>
          <w:b/>
          <w:color w:val="000000"/>
          <w:sz w:val="20"/>
          <w:szCs w:val="20"/>
          <w:lang w:val="de-DE"/>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bookmarkStart w:id="7"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1/0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723"/>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嘉兴正通塑业科技有限公司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vAlign w:val="center"/>
          </w:tcPr>
          <w:p>
            <w:pPr>
              <w:spacing w:line="280" w:lineRule="exact"/>
              <w:jc w:val="both"/>
              <w:rPr>
                <w:rFonts w:hint="eastAsia" w:ascii="宋体" w:eastAsia="宋体"/>
                <w:b/>
                <w:color w:val="000000"/>
                <w:sz w:val="20"/>
                <w:szCs w:val="20"/>
                <w:lang w:eastAsia="zh-CN"/>
              </w:rPr>
            </w:pPr>
            <w:r>
              <w:rPr>
                <w:rFonts w:hint="eastAsia" w:ascii="宋体"/>
                <w:b/>
                <w:color w:val="000000"/>
                <w:sz w:val="20"/>
                <w:szCs w:val="20"/>
                <w:lang w:eastAsia="zh-CN"/>
              </w:rPr>
              <w:t>浙江省嘉兴市嘉善县天凝镇东麟湖路7号2、3幢</w:t>
            </w:r>
          </w:p>
        </w:tc>
        <w:tc>
          <w:tcPr>
            <w:tcW w:w="723" w:type="dxa"/>
            <w:vMerge w:val="restart"/>
            <w:vAlign w:val="center"/>
          </w:tcPr>
          <w:p>
            <w:pPr>
              <w:spacing w:line="280" w:lineRule="exact"/>
              <w:jc w:val="both"/>
              <w:rPr>
                <w:rFonts w:ascii="宋体"/>
                <w:b/>
                <w:color w:val="000000"/>
                <w:sz w:val="20"/>
                <w:szCs w:val="20"/>
              </w:rPr>
            </w:pPr>
            <w:r>
              <w:rPr>
                <w:rFonts w:hint="eastAsia" w:ascii="宋体" w:hAnsi="宋体"/>
                <w:b/>
                <w:color w:val="000000"/>
                <w:sz w:val="20"/>
                <w:szCs w:val="20"/>
              </w:rPr>
              <w:t>邮编</w:t>
            </w:r>
          </w:p>
        </w:tc>
        <w:tc>
          <w:tcPr>
            <w:tcW w:w="2077" w:type="dxa"/>
            <w:vAlign w:val="center"/>
          </w:tcPr>
          <w:p>
            <w:pPr>
              <w:spacing w:line="280" w:lineRule="exact"/>
              <w:jc w:val="both"/>
              <w:rPr>
                <w:rFonts w:ascii="宋体"/>
                <w:b/>
                <w:color w:val="000000"/>
                <w:sz w:val="20"/>
                <w:szCs w:val="20"/>
              </w:rPr>
            </w:pPr>
            <w:bookmarkStart w:id="8" w:name="生产邮编"/>
            <w:r>
              <w:rPr>
                <w:b w:val="0"/>
                <w:bCs w:val="0"/>
                <w:sz w:val="21"/>
                <w:szCs w:val="21"/>
              </w:rPr>
              <w:t>314109</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center"/>
          </w:tcPr>
          <w:p>
            <w:pPr>
              <w:spacing w:line="280" w:lineRule="exact"/>
              <w:jc w:val="both"/>
              <w:rPr>
                <w:rFonts w:hint="eastAsia" w:ascii="宋体" w:eastAsia="宋体"/>
                <w:b/>
                <w:color w:val="000000"/>
                <w:sz w:val="20"/>
                <w:szCs w:val="20"/>
                <w:lang w:eastAsia="zh-CN"/>
              </w:rPr>
            </w:pPr>
            <w:bookmarkStart w:id="9" w:name="经营地址"/>
            <w:bookmarkEnd w:id="9"/>
            <w:r>
              <w:rPr>
                <w:rFonts w:hint="eastAsia" w:ascii="宋体"/>
                <w:b/>
                <w:color w:val="000000"/>
                <w:sz w:val="20"/>
                <w:szCs w:val="20"/>
                <w:lang w:eastAsia="zh-CN"/>
              </w:rPr>
              <w:t>浙江省嘉兴市嘉善县天凝镇东麟湖路7号2、3幢</w:t>
            </w:r>
          </w:p>
        </w:tc>
        <w:tc>
          <w:tcPr>
            <w:tcW w:w="723" w:type="dxa"/>
            <w:vMerge w:val="continue"/>
            <w:vAlign w:val="center"/>
          </w:tcPr>
          <w:p>
            <w:pPr>
              <w:spacing w:line="280" w:lineRule="exact"/>
              <w:jc w:val="both"/>
              <w:rPr>
                <w:rFonts w:ascii="宋体"/>
                <w:b/>
                <w:color w:val="000000"/>
                <w:sz w:val="20"/>
                <w:szCs w:val="20"/>
              </w:rPr>
            </w:pPr>
          </w:p>
        </w:tc>
        <w:tc>
          <w:tcPr>
            <w:tcW w:w="2077" w:type="dxa"/>
            <w:vAlign w:val="center"/>
          </w:tcPr>
          <w:p>
            <w:pPr>
              <w:spacing w:line="280" w:lineRule="exact"/>
              <w:jc w:val="both"/>
              <w:rPr>
                <w:rFonts w:ascii="宋体"/>
                <w:b/>
                <w:color w:val="000000"/>
                <w:sz w:val="20"/>
                <w:szCs w:val="20"/>
              </w:rPr>
            </w:pPr>
            <w:bookmarkStart w:id="10" w:name="经营邮编"/>
            <w:bookmarkEnd w:id="10"/>
            <w:r>
              <w:rPr>
                <w:b w:val="0"/>
                <w:bCs w:val="0"/>
                <w:sz w:val="21"/>
                <w:szCs w:val="21"/>
              </w:rPr>
              <w:t>314109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both"/>
              <w:rPr>
                <w:rFonts w:ascii="宋体"/>
                <w:b/>
                <w:color w:val="000000"/>
                <w:sz w:val="20"/>
                <w:szCs w:val="20"/>
              </w:rPr>
            </w:pPr>
            <w:bookmarkStart w:id="11" w:name="联系人"/>
            <w:r>
              <w:rPr>
                <w:b w:val="0"/>
                <w:bCs w:val="0"/>
                <w:sz w:val="21"/>
                <w:szCs w:val="21"/>
              </w:rPr>
              <w:t>宋伟强</w:t>
            </w:r>
            <w:bookmarkEnd w:id="11"/>
          </w:p>
        </w:tc>
        <w:tc>
          <w:tcPr>
            <w:tcW w:w="1463" w:type="dxa"/>
            <w:vAlign w:val="center"/>
          </w:tcPr>
          <w:p>
            <w:pPr>
              <w:spacing w:line="280" w:lineRule="exact"/>
              <w:jc w:val="both"/>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bookmarkStart w:id="12" w:name="联系人电话"/>
            <w:r>
              <w:rPr>
                <w:b w:val="0"/>
                <w:bCs w:val="0"/>
                <w:sz w:val="21"/>
                <w:szCs w:val="21"/>
              </w:rPr>
              <w:t>13857305205</w:t>
            </w:r>
            <w:bookmarkEnd w:id="12"/>
          </w:p>
        </w:tc>
        <w:tc>
          <w:tcPr>
            <w:tcW w:w="723" w:type="dxa"/>
            <w:vAlign w:val="center"/>
          </w:tcPr>
          <w:p>
            <w:pPr>
              <w:spacing w:line="280" w:lineRule="exact"/>
              <w:jc w:val="both"/>
              <w:rPr>
                <w:rFonts w:ascii="宋体"/>
                <w:b/>
                <w:color w:val="000000"/>
                <w:sz w:val="20"/>
                <w:szCs w:val="20"/>
              </w:rPr>
            </w:pPr>
            <w:r>
              <w:rPr>
                <w:rFonts w:hint="eastAsia" w:ascii="宋体" w:hAnsi="宋体"/>
                <w:b/>
                <w:color w:val="000000"/>
                <w:sz w:val="20"/>
                <w:szCs w:val="20"/>
              </w:rPr>
              <w:t>传真</w:t>
            </w:r>
          </w:p>
        </w:tc>
        <w:tc>
          <w:tcPr>
            <w:tcW w:w="2077" w:type="dxa"/>
            <w:vAlign w:val="center"/>
          </w:tcPr>
          <w:p>
            <w:pPr>
              <w:spacing w:line="280" w:lineRule="exact"/>
              <w:jc w:val="both"/>
              <w:rPr>
                <w:rFonts w:ascii="宋体"/>
                <w:b/>
                <w:color w:val="000000"/>
                <w:sz w:val="20"/>
                <w:szCs w:val="20"/>
              </w:rPr>
            </w:pPr>
            <w:bookmarkStart w:id="13" w:name="联系人传真Add1"/>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both"/>
              <w:rPr>
                <w:rFonts w:ascii="宋体"/>
                <w:b/>
                <w:color w:val="000000"/>
                <w:sz w:val="20"/>
                <w:szCs w:val="20"/>
              </w:rPr>
            </w:pPr>
            <w:r>
              <w:rPr>
                <w:b w:val="0"/>
                <w:bCs w:val="0"/>
                <w:sz w:val="21"/>
                <w:szCs w:val="21"/>
              </w:rPr>
              <w:t>宋伟强</w:t>
            </w:r>
          </w:p>
        </w:tc>
        <w:tc>
          <w:tcPr>
            <w:tcW w:w="1463" w:type="dxa"/>
            <w:vAlign w:val="center"/>
          </w:tcPr>
          <w:p>
            <w:pPr>
              <w:jc w:val="both"/>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both"/>
              <w:rPr>
                <w:rFonts w:hint="default" w:ascii="宋体" w:eastAsia="宋体"/>
                <w:b/>
                <w:color w:val="000000"/>
                <w:sz w:val="20"/>
                <w:szCs w:val="20"/>
                <w:lang w:val="en-US" w:eastAsia="zh-CN"/>
              </w:rPr>
            </w:pPr>
            <w:r>
              <w:rPr>
                <w:rFonts w:hint="eastAsia" w:ascii="宋体"/>
                <w:b/>
                <w:color w:val="000000"/>
                <w:sz w:val="20"/>
                <w:szCs w:val="20"/>
                <w:lang w:val="en-US" w:eastAsia="zh-CN"/>
              </w:rPr>
              <w:t>熊延亮</w:t>
            </w:r>
          </w:p>
        </w:tc>
        <w:tc>
          <w:tcPr>
            <w:tcW w:w="723" w:type="dxa"/>
            <w:vAlign w:val="center"/>
          </w:tcPr>
          <w:p>
            <w:pPr>
              <w:jc w:val="both"/>
              <w:rPr>
                <w:rFonts w:ascii="宋体"/>
                <w:b/>
                <w:color w:val="000000"/>
                <w:sz w:val="20"/>
                <w:szCs w:val="20"/>
              </w:rPr>
            </w:pPr>
            <w:r>
              <w:rPr>
                <w:rFonts w:hint="eastAsia" w:ascii="宋体"/>
                <w:b/>
                <w:color w:val="000000"/>
                <w:sz w:val="20"/>
                <w:szCs w:val="20"/>
              </w:rPr>
              <w:t>邮箱</w:t>
            </w:r>
          </w:p>
        </w:tc>
        <w:tc>
          <w:tcPr>
            <w:tcW w:w="2077" w:type="dxa"/>
            <w:vAlign w:val="center"/>
          </w:tcPr>
          <w:p>
            <w:pPr>
              <w:jc w:val="both"/>
              <w:rPr>
                <w:rFonts w:ascii="宋体"/>
                <w:b/>
                <w:color w:val="000000"/>
                <w:sz w:val="20"/>
                <w:szCs w:val="20"/>
              </w:rPr>
            </w:pPr>
            <w:bookmarkStart w:id="14" w:name="联系人邮箱"/>
            <w:r>
              <w:rPr>
                <w:b w:val="0"/>
                <w:bCs w:val="0"/>
                <w:sz w:val="21"/>
                <w:szCs w:val="21"/>
              </w:rPr>
              <w:t>271863822@qq.com</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2020年7月21日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rPr>
                <w:b w:val="0"/>
                <w:bCs w:val="0"/>
                <w:sz w:val="21"/>
                <w:szCs w:val="21"/>
              </w:rPr>
            </w:pPr>
            <w:bookmarkStart w:id="15" w:name="审核范围"/>
            <w:r>
              <w:rPr>
                <w:b w:val="0"/>
                <w:bCs w:val="0"/>
                <w:sz w:val="21"/>
                <w:szCs w:val="21"/>
              </w:rPr>
              <w:t>Q：塑料管道管材（PVC-UH给水管、PE给水管、MPP电力通信管、PE燃气管、PE管件）的生产</w:t>
            </w:r>
          </w:p>
          <w:p>
            <w:pPr>
              <w:spacing w:line="400" w:lineRule="exact"/>
              <w:rPr>
                <w:rFonts w:ascii="宋体" w:hAnsi="宋体"/>
                <w:b/>
                <w:color w:val="000000"/>
                <w:sz w:val="20"/>
                <w:szCs w:val="20"/>
              </w:rPr>
            </w:pPr>
            <w:r>
              <w:rPr>
                <w:b w:val="0"/>
                <w:bCs w:val="0"/>
                <w:sz w:val="21"/>
                <w:szCs w:val="21"/>
              </w:rPr>
              <w:t>O：塑料管道管材（PVC-UH给水管、PE给水管、MPP电力通信管、PE燃气管、PE管件）的生产</w:t>
            </w:r>
            <w:bookmarkEnd w:id="15"/>
            <w:r>
              <w:rPr>
                <w:sz w:val="21"/>
                <w:szCs w:val="21"/>
              </w:rPr>
              <w:t>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jc w:val="both"/>
              <w:rPr>
                <w:b w:val="0"/>
                <w:bCs w:val="0"/>
                <w:sz w:val="21"/>
                <w:szCs w:val="21"/>
              </w:rPr>
            </w:pPr>
            <w:r>
              <w:rPr>
                <w:b w:val="0"/>
                <w:bCs w:val="0"/>
                <w:sz w:val="21"/>
                <w:szCs w:val="21"/>
              </w:rPr>
              <w:t>Q：14.02.01</w:t>
            </w:r>
          </w:p>
          <w:p>
            <w:pPr>
              <w:spacing w:line="280" w:lineRule="exact"/>
              <w:rPr>
                <w:rFonts w:ascii="宋体"/>
                <w:b/>
                <w:color w:val="000000"/>
                <w:sz w:val="20"/>
                <w:szCs w:val="20"/>
              </w:rPr>
            </w:pPr>
            <w:r>
              <w:rPr>
                <w:b w:val="0"/>
                <w:bCs w:val="0"/>
                <w:sz w:val="21"/>
                <w:szCs w:val="21"/>
              </w:rP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eastAsia="宋体"/>
                <w:b/>
                <w:color w:val="000000"/>
                <w:sz w:val="20"/>
                <w:szCs w:val="20"/>
                <w:lang w:val="en-US" w:eastAsia="zh-CN"/>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p>
            <w:pPr>
              <w:spacing w:line="280" w:lineRule="exact"/>
              <w:rPr>
                <w:rFonts w:hint="eastAsia" w:ascii="宋体" w:eastAsia="宋体"/>
                <w:b/>
                <w:color w:val="000000"/>
                <w:sz w:val="20"/>
                <w:szCs w:val="20"/>
                <w:lang w:val="en-US" w:eastAsia="zh-CN"/>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lang w:val="en-US" w:eastAsia="zh-CN"/>
              </w:rPr>
              <w:t>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lang w:val="en-US" w:eastAsia="zh-CN"/>
        </w:rPr>
        <w:t>远程审核</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val="en-US" w:eastAsia="zh-CN"/>
        </w:rPr>
        <w:t>远程</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管理层、办公室、生产部、质检部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办公场所、生产场所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w:t>
      </w:r>
      <w:r>
        <w:rPr>
          <w:rFonts w:hint="eastAsia" w:ascii="宋体" w:hAnsi="宋体"/>
          <w:b/>
          <w:color w:val="000000"/>
          <w:sz w:val="20"/>
          <w:szCs w:val="20"/>
        </w:rPr>
        <w:t>第一阶段审核问题清单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产品：</w:t>
            </w:r>
            <w:r>
              <w:rPr>
                <w:b w:val="0"/>
                <w:bCs w:val="0"/>
                <w:sz w:val="21"/>
                <w:szCs w:val="21"/>
              </w:rPr>
              <w:t>塑料管道管材（PVC-UH给水管、PE给水管、MPP电力通信管、PE燃气管、PE管件）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管理层、办公室、生产部、质检部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质检部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办公室</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b w:val="0"/>
                <w:bCs/>
                <w:color w:val="000000" w:themeColor="text1"/>
                <w:sz w:val="22"/>
                <w:szCs w:val="22"/>
                <w:lang w:eastAsia="zh-CN"/>
              </w:rPr>
              <w:t>浙江省嘉兴市嘉善县天凝镇东麟湖路7号2、3幢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b w:val="0"/>
                <w:bCs/>
                <w:color w:val="000000" w:themeColor="text1"/>
                <w:sz w:val="22"/>
                <w:szCs w:val="22"/>
                <w:lang w:eastAsia="zh-CN"/>
              </w:rPr>
              <w:t>浙江省嘉兴市嘉善县天凝镇东麟湖路7号2、3幢</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r>
              <w:rPr>
                <w:rFonts w:hint="eastAsia" w:ascii="宋体" w:hAnsi="宋体" w:cs="宋体"/>
                <w:sz w:val="21"/>
                <w:szCs w:val="21"/>
              </w:rPr>
              <w:t>机动车</w:t>
            </w:r>
            <w:r>
              <w:rPr>
                <w:rFonts w:hint="eastAsia" w:ascii="宋体" w:hAnsi="宋体" w:cs="宋体"/>
                <w:sz w:val="21"/>
                <w:szCs w:val="21"/>
                <w:lang w:eastAsia="zh-CN"/>
              </w:rPr>
              <w:t>生产</w:t>
            </w:r>
            <w:r>
              <w:rPr>
                <w:rFonts w:hint="eastAsia" w:ascii="宋体" w:hAnsi="宋体" w:cs="宋体"/>
                <w:sz w:val="21"/>
                <w:szCs w:val="21"/>
              </w:rPr>
              <w:t>经营备案表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Times New Roman" w:hAnsi="Times New Roman" w:eastAsia="宋体" w:cs="Times New Roman"/>
                <w:sz w:val="21"/>
                <w:szCs w:val="21"/>
                <w:lang w:eastAsia="zh-CN"/>
              </w:rPr>
              <w:t>DL/T 802.7-2010《电力电缆用导管技术条件 第7部分：非开挖用改性聚丙烯塑料电缆导管》、GB/T 13663.2-2018《给水用聚乙烯（PE）管道系统 第2部分：管材中PE100级管材》、GB/T 13663.3-2018《给水用聚乙烯（PE）管道系统 第3部分：管件中PE100级管件》、CJ/T 493-2016《给水用高性能硬聚氯乙烯管材及连接件》</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执行标准：</w:t>
            </w:r>
            <w:r>
              <w:rPr>
                <w:rFonts w:hint="eastAsia" w:ascii="宋体"/>
                <w:color w:val="000000"/>
                <w:sz w:val="20"/>
                <w:szCs w:val="20"/>
                <w:lang w:val="en-US" w:eastAsia="zh-CN"/>
              </w:rPr>
              <w:t>GBZ 2.1-2019 工作场所有害因素职业接触限值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p>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sz w:val="21"/>
                <w:szCs w:val="21"/>
              </w:rPr>
              <w:t>配料—混合—加热—挤出—（缠绕）—成型—冷却—</w:t>
            </w:r>
            <w:r>
              <w:rPr>
                <w:rFonts w:hint="eastAsia"/>
                <w:sz w:val="21"/>
                <w:szCs w:val="21"/>
                <w:lang w:val="en-US" w:eastAsia="zh-CN"/>
              </w:rPr>
              <w:t>切割—</w:t>
            </w:r>
            <w:r>
              <w:rPr>
                <w:rFonts w:hint="eastAsia"/>
                <w:sz w:val="21"/>
                <w:szCs w:val="21"/>
              </w:rPr>
              <w:t>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楷体" w:hAnsi="楷体" w:eastAsia="楷体"/>
                <w:szCs w:val="21"/>
              </w:rPr>
              <w:t>《</w:t>
            </w:r>
            <w:r>
              <w:rPr>
                <w:rFonts w:hint="eastAsia" w:ascii="楷体" w:hAnsi="楷体" w:eastAsia="楷体"/>
                <w:szCs w:val="21"/>
                <w:lang w:val="en-US" w:eastAsia="zh-CN"/>
              </w:rPr>
              <w:t>挤出作业指导书</w:t>
            </w:r>
            <w:r>
              <w:rPr>
                <w:rFonts w:hint="eastAsia" w:ascii="楷体" w:hAnsi="楷体" w:eastAsia="楷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挤出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olor w:val="000000"/>
                <w:spacing w:val="-10"/>
                <w:sz w:val="21"/>
                <w:szCs w:val="21"/>
                <w:lang w:val="en-US" w:eastAsia="zh-CN"/>
              </w:rPr>
              <w:t>混料机、管材生产线、粉碎机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sz w:val="21"/>
                <w:szCs w:val="21"/>
                <w:lang w:eastAsia="zh-CN"/>
              </w:rPr>
              <w:t>万能试验机、钢卷尺、游标卡尺、数显卡尺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办公场所</w:t>
            </w:r>
            <w:r>
              <w:rPr>
                <w:rFonts w:hint="eastAsia" w:ascii="宋体"/>
                <w:color w:val="000000"/>
                <w:sz w:val="20"/>
                <w:szCs w:val="20"/>
                <w:lang w:val="en-US" w:eastAsia="zh-CN"/>
              </w:rPr>
              <w:t>5</w:t>
            </w:r>
            <w:r>
              <w:rPr>
                <w:rFonts w:hint="eastAsia" w:ascii="宋体"/>
                <w:color w:val="000000"/>
                <w:sz w:val="20"/>
                <w:szCs w:val="20"/>
              </w:rPr>
              <w:t>00平米，</w:t>
            </w:r>
            <w:r>
              <w:rPr>
                <w:rFonts w:hint="eastAsia" w:ascii="宋体"/>
                <w:color w:val="000000"/>
                <w:sz w:val="20"/>
                <w:szCs w:val="20"/>
                <w:lang w:eastAsia="zh-CN"/>
              </w:rPr>
              <w:t>生产</w:t>
            </w:r>
            <w:r>
              <w:rPr>
                <w:rFonts w:hint="eastAsia" w:ascii="宋体"/>
                <w:color w:val="000000"/>
                <w:sz w:val="20"/>
                <w:szCs w:val="20"/>
              </w:rPr>
              <w:t>场地</w:t>
            </w:r>
            <w:r>
              <w:rPr>
                <w:rFonts w:hint="eastAsia" w:ascii="宋体"/>
                <w:color w:val="000000"/>
                <w:sz w:val="20"/>
                <w:szCs w:val="20"/>
                <w:lang w:val="en-US" w:eastAsia="zh-CN"/>
              </w:rPr>
              <w:t>600</w:t>
            </w:r>
            <w:r>
              <w:rPr>
                <w:rFonts w:hint="eastAsia" w:ascii="宋体"/>
                <w:color w:val="000000"/>
                <w:sz w:val="20"/>
                <w:szCs w:val="20"/>
              </w:rPr>
              <w:t>0平米</w:t>
            </w:r>
            <w:r>
              <w:rPr>
                <w:rFonts w:hint="eastAsia" w:ascii="宋体"/>
                <w:color w:val="000000"/>
                <w:sz w:val="20"/>
                <w:szCs w:val="20"/>
                <w:lang w:eastAsia="zh-CN"/>
              </w:rPr>
              <w:t>，</w:t>
            </w:r>
            <w:r>
              <w:rPr>
                <w:rFonts w:hint="eastAsia" w:ascii="宋体"/>
                <w:color w:val="000000"/>
                <w:sz w:val="20"/>
                <w:szCs w:val="20"/>
              </w:rPr>
              <w:t>配备有办公设备及</w:t>
            </w:r>
            <w:r>
              <w:rPr>
                <w:rFonts w:hint="eastAsia" w:ascii="宋体"/>
                <w:color w:val="000000"/>
                <w:sz w:val="20"/>
                <w:szCs w:val="20"/>
                <w:lang w:eastAsia="zh-CN"/>
              </w:rPr>
              <w:t>生产</w:t>
            </w:r>
            <w:r>
              <w:rPr>
                <w:rFonts w:hint="eastAsia" w:ascii="宋体"/>
                <w:color w:val="000000"/>
                <w:sz w:val="20"/>
                <w:szCs w:val="20"/>
              </w:rPr>
              <w:t>所需设备,办公及</w:t>
            </w:r>
            <w:r>
              <w:rPr>
                <w:rFonts w:hint="eastAsia" w:ascii="宋体"/>
                <w:color w:val="000000"/>
                <w:sz w:val="20"/>
                <w:szCs w:val="20"/>
                <w:lang w:eastAsia="zh-CN"/>
              </w:rPr>
              <w:t>生产</w:t>
            </w:r>
            <w:r>
              <w:rPr>
                <w:rFonts w:hint="eastAsia" w:ascii="宋体"/>
                <w:color w:val="000000"/>
                <w:sz w:val="20"/>
                <w:szCs w:val="20"/>
              </w:rPr>
              <w:t>场地环境整洁，温度适宜，通风良好</w:t>
            </w:r>
            <w:bookmarkStart w:id="16" w:name="_GoBack"/>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sz w:val="21"/>
                <w:szCs w:val="21"/>
                <w:lang w:eastAsia="zh-CN"/>
              </w:rPr>
              <w:t>潜在火灾、触电、废气伤害、机械伤害、噪声伤害、</w:t>
            </w:r>
            <w:r>
              <w:rPr>
                <w:rFonts w:hint="eastAsia"/>
                <w:sz w:val="21"/>
                <w:szCs w:val="21"/>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hAnsi="宋体" w:cs="宋体"/>
                <w:sz w:val="21"/>
                <w:szCs w:val="21"/>
              </w:rPr>
              <w:t>危险源辨识、风险评价管理程序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45</w:t>
            </w:r>
            <w:r>
              <w:rPr>
                <w:rFonts w:hint="eastAsia" w:ascii="宋体"/>
                <w:color w:val="000000"/>
                <w:sz w:val="20"/>
                <w:szCs w:val="20"/>
              </w:rPr>
              <w:t>人，其中管理人员：</w:t>
            </w:r>
            <w:r>
              <w:rPr>
                <w:rFonts w:hint="eastAsia" w:ascii="宋体"/>
                <w:color w:val="000000"/>
                <w:sz w:val="20"/>
                <w:szCs w:val="20"/>
                <w:lang w:val="en-US" w:eastAsia="zh-CN"/>
              </w:rPr>
              <w:t>10</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14" w:hangingChars="200"/>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办公室、生产部、质检部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办公室、生产部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内部审核</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76" w:type="dxa"/>
            <w:vMerge w:val="restart"/>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管理评审</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497" w:type="dxa"/>
            <w:gridSpan w:val="2"/>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59264" behindDoc="0" locked="0" layoutInCell="1" allowOverlap="1">
            <wp:simplePos x="0" y="0"/>
            <wp:positionH relativeFrom="column">
              <wp:posOffset>1722755</wp:posOffset>
            </wp:positionH>
            <wp:positionV relativeFrom="paragraph">
              <wp:posOffset>-204470</wp:posOffset>
            </wp:positionV>
            <wp:extent cx="1156335" cy="467995"/>
            <wp:effectExtent l="0" t="0" r="12065"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1312" behindDoc="0" locked="0" layoutInCell="1" allowOverlap="1">
            <wp:simplePos x="0" y="0"/>
            <wp:positionH relativeFrom="column">
              <wp:posOffset>1818005</wp:posOffset>
            </wp:positionH>
            <wp:positionV relativeFrom="paragraph">
              <wp:posOffset>137160</wp:posOffset>
            </wp:positionV>
            <wp:extent cx="918845" cy="487680"/>
            <wp:effectExtent l="0" t="0" r="825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18845" cy="487680"/>
                    </a:xfrm>
                    <a:prstGeom prst="rect">
                      <a:avLst/>
                    </a:prstGeom>
                    <a:noFill/>
                    <a:ln>
                      <a:noFill/>
                    </a:ln>
                  </pic:spPr>
                </pic:pic>
              </a:graphicData>
            </a:graphic>
          </wp:anchor>
        </w:drawing>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2020年11月10日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r>
              <w:rPr>
                <w:sz w:val="24"/>
              </w:rPr>
              <w:pict>
                <v:line id="_x0000_s1027" o:spid="_x0000_s1027" o:spt="20" style="position:absolute;left:0pt;flip:y;margin-left:28.45pt;margin-top:28.2pt;height:291.8pt;width:423.2pt;z-index:251660288;mso-width-relative:page;mso-height-relative:page;" filled="f" stroked="t" coordsize="21600,21600">
                  <v:path arrowok="t"/>
                  <v:fill on="f" focussize="0,0"/>
                  <v:stroke color="#000000"/>
                  <v:imagedata o:title=""/>
                  <o:lock v:ext="edit" aspectratio="f"/>
                </v:line>
              </w:pict>
            </w: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3F2A9E"/>
    <w:rsid w:val="0B8262A4"/>
    <w:rsid w:val="3A011050"/>
    <w:rsid w:val="43AA758C"/>
    <w:rsid w:val="63221C3B"/>
    <w:rsid w:val="789A5E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3</TotalTime>
  <ScaleCrop>false</ScaleCrop>
  <LinksUpToDate>false</LinksUpToDate>
  <CharactersWithSpaces>6844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2020-11-17T07:26:49Z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