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98"/>
        <w:gridCol w:w="1461"/>
        <w:gridCol w:w="567"/>
        <w:gridCol w:w="872"/>
        <w:gridCol w:w="546"/>
        <w:gridCol w:w="425"/>
        <w:gridCol w:w="425"/>
        <w:gridCol w:w="23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_GoBack"/>
            <w:bookmarkStart w:id="0" w:name="组织名称"/>
            <w:r>
              <w:rPr>
                <w:sz w:val="21"/>
                <w:szCs w:val="21"/>
              </w:rPr>
              <w:t>嘉兴正通塑业科技有限公司</w:t>
            </w:r>
            <w:bookmarkEnd w:id="14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0615-2020-QO</w:t>
            </w:r>
            <w:bookmarkEnd w:id="1"/>
          </w:p>
        </w:tc>
        <w:tc>
          <w:tcPr>
            <w:tcW w:w="14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宋伟强</w:t>
            </w:r>
            <w:bookmarkEnd w:id="5"/>
          </w:p>
        </w:tc>
        <w:tc>
          <w:tcPr>
            <w:tcW w:w="14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13857305205</w:t>
            </w:r>
            <w:bookmarkEnd w:id="6"/>
          </w:p>
        </w:tc>
        <w:tc>
          <w:tcPr>
            <w:tcW w:w="97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271863822@qq.com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孙如明</w:t>
            </w:r>
          </w:p>
        </w:tc>
        <w:tc>
          <w:tcPr>
            <w:tcW w:w="14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97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Q：塑料管道管材（PVC-UH给水管、PE给水管、MPP电力通信管、PE燃气管、PE管件）的生产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O：塑料管道管材（PVC-UH给水管、PE给水管、MPP电力通信管、PE燃气管、PE管件）的生产</w:t>
            </w:r>
            <w:bookmarkEnd w:id="10"/>
            <w:r>
              <w:rPr>
                <w:sz w:val="21"/>
                <w:szCs w:val="21"/>
              </w:rPr>
              <w:t>所涉及的相关职业健康安全管理活动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Q：14.02.01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2020年11月10日 上午至2020年11月10日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9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李蒙生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9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18031915393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ISC-1237307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tcBorders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2020.11.5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2020.11.9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/>
    <w:p/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18"/>
        <w:gridCol w:w="5909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9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2020.11.10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O </w:t>
            </w:r>
            <w:r>
              <w:rPr>
                <w:rFonts w:hint="eastAsia"/>
                <w:sz w:val="21"/>
                <w:szCs w:val="21"/>
              </w:rPr>
              <w:t>4.1/4.3/4.4/5.2/6.2/7.1/9.2/9.3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：组织的知识，文件化信息，危险源的识别评价情况，适用法律法规识别的充分性及合规性评价情况，目标、指标及管理方案的可行性；应急准备及响应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生产部/质检部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流程、设备、监视和测量设备等）资源的配置、特殊过程识别、危险源的识别评价情况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Q7.1.3/7.1.4/7.1.5/8.1/8.5.1；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BC10A3"/>
    <w:rsid w:val="259E40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2020-11-10T01:08:04Z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