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和县翠微斋食品有限公司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Q：GB/T19001-2016/ISO9001:2015,F：ISO 22000:2018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0623-2020-QF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Q:一阶段现场,F:一阶段现场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2019-N1FSMS-2059498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陈丽丹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2020-N0QMS-1246137</w:t>
            </w:r>
          </w:p>
          <w:p w:rsidR="009F508A">
            <w:pPr>
              <w:snapToGrid w:val="0"/>
              <w:spacing w:line="320" w:lineRule="exact"/>
              <w:ind w:left="1309"/>
              <w:rPr>
                <w:sz w:val="22"/>
                <w:szCs w:val="22"/>
                <w:highlight w:val="yellow"/>
              </w:rPr>
            </w:pPr>
            <w:r>
              <w:rPr>
                <w:sz w:val="22"/>
                <w:szCs w:val="22"/>
                <w:highlight w:val="yellow"/>
              </w:rPr>
              <w:t>2018-N0FSMS-1246137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