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rFonts w:hint="eastAsia"/>
          <w:b/>
          <w:sz w:val="22"/>
          <w:szCs w:val="22"/>
        </w:rPr>
        <w:t xml:space="preserve">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合肥市房地产经营公司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2.10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物业管理小组——接管验收——业主入住——提供日常服务（保洁、保安、绿化、维修、办公等）——服务检查——服务考评——服务改进——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日常服务过程中的风险和控制、内外部环境影响的因素产生的风险控制等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物业公司主要能源使用和主要能源参数等，无；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物业公司的主要使用电能，另外就是使用水资源，电力为物业的主要能源使用，因此主要能源绩效参数为电力消耗，或电力综合能耗（万元产值综合能耗或单位建筑面积综合耗能等）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物业服务主要执行标准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物业运行中主要执行相关设备经济运行标准。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相关法律法规包括：节约能源法、电力法、合同法、物业管理法、能源管理体系标准等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一般物业不存在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473710" cy="23622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2020.11.11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drawing>
          <wp:inline distT="0" distB="0" distL="0" distR="0">
            <wp:extent cx="554355" cy="248285"/>
            <wp:effectExtent l="0" t="0" r="4445" b="5715"/>
            <wp:docPr id="3" name="图片 3" descr="D:\审核任务\电子签\李丽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审核任务\电子签\李丽英电子签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5620E"/>
    <w:rsid w:val="48F05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2020-11-13T10:25:52Z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