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Cs w:val="21"/>
        </w:rPr>
      </w:pPr>
      <w:r>
        <w:rPr>
          <w:rFonts w:hint="eastAsia" w:ascii="隶书" w:hAnsi="宋体" w:eastAsia="隶书"/>
          <w:bCs/>
          <w:color w:val="000000"/>
          <w:sz w:val="36"/>
          <w:szCs w:val="36"/>
        </w:rPr>
        <w:t>管理体系审核记录表</w:t>
      </w:r>
    </w:p>
    <w:tbl>
      <w:tblPr>
        <w:tblStyle w:val="9"/>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69" w:type="dxa"/>
            <w:vMerge w:val="restart"/>
            <w:vAlign w:val="center"/>
          </w:tcPr>
          <w:p>
            <w:pPr>
              <w:rPr>
                <w:szCs w:val="21"/>
              </w:rPr>
            </w:pPr>
            <w:r>
              <w:rPr>
                <w:szCs w:val="21"/>
              </w:rPr>
              <w:t>涉及</w:t>
            </w:r>
          </w:p>
          <w:p>
            <w:pPr>
              <w:rPr>
                <w:szCs w:val="21"/>
              </w:rPr>
            </w:pPr>
            <w:r>
              <w:rPr>
                <w:szCs w:val="21"/>
              </w:rPr>
              <w:t>条款</w:t>
            </w:r>
          </w:p>
        </w:tc>
        <w:tc>
          <w:tcPr>
            <w:tcW w:w="11490" w:type="dxa"/>
            <w:vAlign w:val="center"/>
          </w:tcPr>
          <w:p>
            <w:pPr>
              <w:rPr>
                <w:szCs w:val="21"/>
              </w:rPr>
            </w:pPr>
            <w:r>
              <w:rPr>
                <w:szCs w:val="21"/>
              </w:rPr>
              <w:t>受审核部门：</w:t>
            </w:r>
            <w:r>
              <w:rPr>
                <w:rFonts w:hint="eastAsia"/>
                <w:szCs w:val="21"/>
              </w:rPr>
              <w:t>管理层</w:t>
            </w:r>
            <w:r>
              <w:rPr>
                <w:szCs w:val="21"/>
              </w:rPr>
              <w:t xml:space="preserve">          主管领导： </w:t>
            </w:r>
            <w:r>
              <w:rPr>
                <w:rFonts w:hint="eastAsia"/>
                <w:szCs w:val="21"/>
              </w:rPr>
              <w:t>马昆明</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szCs w:val="21"/>
              </w:rPr>
            </w:pPr>
            <w:r>
              <w:rPr>
                <w:szCs w:val="21"/>
              </w:rPr>
              <w:t xml:space="preserve">审核员：   </w:t>
            </w:r>
            <w:r>
              <w:rPr>
                <w:rFonts w:hint="eastAsia"/>
                <w:szCs w:val="21"/>
              </w:rPr>
              <w:t>李蒙生</w:t>
            </w:r>
            <w:r>
              <w:rPr>
                <w:szCs w:val="21"/>
              </w:rPr>
              <w:t xml:space="preserve">          审核时间：</w:t>
            </w:r>
            <w:r>
              <w:rPr>
                <w:rFonts w:hint="eastAsia"/>
                <w:szCs w:val="21"/>
              </w:rPr>
              <w:t>2020.11.17</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szCs w:val="21"/>
              </w:rPr>
              <w:t>审核条款：</w:t>
            </w:r>
            <w:r>
              <w:rPr>
                <w:rFonts w:hint="eastAsia"/>
                <w:szCs w:val="21"/>
              </w:rPr>
              <w:t>QEO 4.1/4.3/4.4/5.2/6.2/7.1/9.2/9.3</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企业资质</w:t>
            </w:r>
          </w:p>
        </w:tc>
        <w:tc>
          <w:tcPr>
            <w:tcW w:w="869" w:type="dxa"/>
          </w:tcPr>
          <w:p>
            <w:pPr>
              <w:spacing w:line="288" w:lineRule="auto"/>
              <w:ind w:right="100"/>
              <w:rPr>
                <w:rFonts w:asciiTheme="minorEastAsia" w:hAnsiTheme="minorEastAsia" w:eastAsiaTheme="minorEastAsia"/>
                <w:szCs w:val="21"/>
              </w:rPr>
            </w:pPr>
          </w:p>
        </w:tc>
        <w:tc>
          <w:tcPr>
            <w:tcW w:w="11490"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河北名翔通讯器材有限公司，成立于2016年01月20日，住所：任丘市麻家坞镇南马庄村。</w:t>
            </w:r>
            <w:r>
              <w:rPr>
                <w:rFonts w:asciiTheme="minorEastAsia" w:hAnsiTheme="minorEastAsia" w:eastAsiaTheme="minorEastAsia"/>
                <w:szCs w:val="21"/>
              </w:rPr>
              <w:t xml:space="preserve"> </w:t>
            </w:r>
            <w:r>
              <w:rPr>
                <w:rFonts w:hint="eastAsia" w:asciiTheme="minorEastAsia" w:hAnsiTheme="minorEastAsia" w:eastAsiaTheme="minorEastAsia"/>
                <w:szCs w:val="21"/>
              </w:rPr>
              <w:t>法人：马永超。</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查看公司营业执照，公司申请的认证范围包含在营业执照经营范围内。</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查看公司《建设项目环境影响登记表》，项目名称：任丘市光明邮电器材厂（公司于2016年1月20日升级为河北名翔通讯器材有限公司，提供有任丘市工商行政管理局证明），主要产品名称：线路铁件、钢绞线、电力金具，审批意见：同意建设，任丘市环境保护局，2020年12月27日。</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查看公司《建设项目竣工环境保护验收监测表》，验收监测结论：生产过程无废气；噪声符合《工业企业厂界环境噪声排放标准》中2类标准；无废水外排；废边角料外售处理，生活垃圾统一清运。时间：2017年8月10日。</w:t>
            </w:r>
          </w:p>
          <w:p>
            <w:pPr>
              <w:pStyle w:val="2"/>
              <w:adjustRightInd/>
              <w:spacing w:line="288" w:lineRule="auto"/>
              <w:ind w:left="0"/>
              <w:rPr>
                <w:rFonts w:asciiTheme="minorEastAsia" w:hAnsiTheme="minorEastAsia" w:eastAsiaTheme="minorEastAsia"/>
                <w:color w:val="auto"/>
                <w:kern w:val="2"/>
                <w:u w:val="none"/>
              </w:rPr>
            </w:pPr>
            <w:r>
              <w:rPr>
                <w:rFonts w:hint="eastAsia" w:asciiTheme="minorEastAsia" w:hAnsiTheme="minorEastAsia" w:eastAsiaTheme="minorEastAsia"/>
                <w:color w:val="auto"/>
                <w:kern w:val="2"/>
                <w:u w:val="none"/>
              </w:rPr>
              <w:t>查看公司《建设项目竣工环境保护验收申请登记表》，公司于2017年8月25日通过了沧州市环境保护局任丘市分局的验收。</w:t>
            </w:r>
          </w:p>
        </w:tc>
        <w:tc>
          <w:tcPr>
            <w:tcW w:w="709"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组织及其环境</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QEO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4.1</w:t>
            </w:r>
          </w:p>
        </w:tc>
        <w:tc>
          <w:tcPr>
            <w:tcW w:w="11490" w:type="dxa"/>
          </w:tcPr>
          <w:p>
            <w:pPr>
              <w:autoSpaceDE w:val="0"/>
              <w:autoSpaceDN w:val="0"/>
              <w:spacing w:line="288"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总经理/管理者代表：马昆明</w:t>
            </w:r>
          </w:p>
          <w:p>
            <w:pPr>
              <w:autoSpaceDE w:val="0"/>
              <w:autoSpaceDN w:val="0"/>
              <w:spacing w:line="288"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建立并保持《风险和机遇应对控制程序》，明确风险识别和分析、风险的评估方式、风险的控制、及风险控制措施的跟踪，减轻风险并使风险保持在可接受水平上，达到风险控制的目的。</w:t>
            </w:r>
          </w:p>
          <w:p>
            <w:pPr>
              <w:autoSpaceDE w:val="0"/>
              <w:autoSpaceDN w:val="0"/>
              <w:spacing w:line="288"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建立并保持《环境因素和危险源识别评价与控制程序》，用于本公司范围环境因素识别和评价及危险源辨识和危险源风险评价与控制。</w:t>
            </w:r>
          </w:p>
          <w:p>
            <w:pPr>
              <w:autoSpaceDE w:val="0"/>
              <w:autoSpaceDN w:val="0"/>
              <w:spacing w:line="288" w:lineRule="auto"/>
              <w:jc w:val="left"/>
              <w:rPr>
                <w:rFonts w:asciiTheme="minorEastAsia" w:hAnsiTheme="minorEastAsia" w:eastAsiaTheme="minorEastAsia"/>
                <w:szCs w:val="21"/>
              </w:rPr>
            </w:pPr>
            <w:r>
              <w:rPr>
                <w:rFonts w:hint="eastAsia" w:cs="宋体" w:asciiTheme="minorEastAsia" w:hAnsiTheme="minorEastAsia" w:eastAsiaTheme="minorEastAsia"/>
                <w:kern w:val="0"/>
                <w:szCs w:val="21"/>
              </w:rPr>
              <w:t>制定执行《环境和职业健康安全法律法规控制程序》，</w:t>
            </w:r>
            <w:r>
              <w:rPr>
                <w:rFonts w:hint="eastAsia" w:asciiTheme="minorEastAsia" w:hAnsiTheme="minorEastAsia" w:eastAsiaTheme="minorEastAsia"/>
                <w:szCs w:val="21"/>
              </w:rPr>
              <w:t>通过对公司目标和战略方向相关影响其实现质量管理体系预期结果的各种内外部环境因素的识别与评价，有效应对风险和机遇。</w:t>
            </w:r>
          </w:p>
          <w:p>
            <w:pPr>
              <w:autoSpaceDE w:val="0"/>
              <w:autoSpaceDN w:val="0"/>
              <w:spacing w:line="288"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策划了公司的管理方针、管理目标、指标。</w:t>
            </w:r>
          </w:p>
          <w:p>
            <w:pPr>
              <w:autoSpaceDE w:val="0"/>
              <w:autoSpaceDN w:val="0"/>
              <w:spacing w:line="288"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公司管理体系策划基本适宜，基本符合要求。</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管理体系范围及不适用</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QEO</w:t>
            </w:r>
          </w:p>
          <w:p>
            <w:pPr>
              <w:spacing w:line="288" w:lineRule="auto"/>
              <w:ind w:right="1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p>
        </w:tc>
        <w:tc>
          <w:tcPr>
            <w:tcW w:w="11490"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公司申请认证范围：</w:t>
            </w:r>
          </w:p>
          <w:p>
            <w:pPr>
              <w:spacing w:line="288" w:lineRule="auto"/>
              <w:ind w:right="100"/>
              <w:rPr>
                <w:rFonts w:asciiTheme="minorEastAsia" w:hAnsiTheme="minorEastAsia" w:eastAsiaTheme="minorEastAsia"/>
                <w:szCs w:val="21"/>
              </w:rPr>
            </w:pPr>
            <w:r>
              <w:rPr>
                <w:rFonts w:asciiTheme="minorEastAsia" w:hAnsiTheme="minorEastAsia" w:eastAsiaTheme="minorEastAsia"/>
                <w:szCs w:val="21"/>
              </w:rPr>
              <w:t>Q：线路铁件、电力金具的生产；钢绞线、钢芯铝绞线、井具及配件、油木杆、电缆桥架、水泥制品、地锚石、标石、光缆箱、机柜的销售</w:t>
            </w:r>
          </w:p>
          <w:p>
            <w:pPr>
              <w:spacing w:line="288" w:lineRule="auto"/>
              <w:ind w:right="100"/>
              <w:rPr>
                <w:rFonts w:asciiTheme="minorEastAsia" w:hAnsiTheme="minorEastAsia" w:eastAsiaTheme="minorEastAsia"/>
                <w:szCs w:val="21"/>
              </w:rPr>
            </w:pPr>
            <w:r>
              <w:rPr>
                <w:rFonts w:asciiTheme="minorEastAsia" w:hAnsiTheme="minorEastAsia" w:eastAsiaTheme="minorEastAsia"/>
                <w:szCs w:val="21"/>
              </w:rPr>
              <w:t>E：线路铁件、电力金具的生产；钢绞线、钢芯铝绞线、井具及配件、油木杆、电缆桥架、水泥制品、地锚石、标石、光缆箱、机柜的销售所涉及的相关环境管理活动</w:t>
            </w:r>
          </w:p>
          <w:p>
            <w:pPr>
              <w:spacing w:line="288" w:lineRule="auto"/>
              <w:ind w:right="100"/>
              <w:rPr>
                <w:rFonts w:asciiTheme="minorEastAsia" w:hAnsiTheme="minorEastAsia" w:eastAsiaTheme="minorEastAsia"/>
                <w:szCs w:val="21"/>
              </w:rPr>
            </w:pPr>
            <w:r>
              <w:rPr>
                <w:rFonts w:asciiTheme="minorEastAsia" w:hAnsiTheme="minorEastAsia" w:eastAsiaTheme="minorEastAsia"/>
                <w:szCs w:val="21"/>
              </w:rPr>
              <w:t>O：线路铁件、电力金具的生产；钢绞线、钢芯铝绞线、井具及配件、油木杆、电缆桥架、水泥制品、地锚石、标石、光缆箱、机柜的销售所涉及的相关职业健康安全管理活动</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涉及经营场所：任丘市麻家坞镇南马庄村。</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本手册覆盖的管理体系活动的区域和场所包括生产技术部、供销部、办公室等涉及产品的制造</w:t>
            </w:r>
            <w:r>
              <w:rPr>
                <w:rFonts w:hint="eastAsia" w:asciiTheme="minorEastAsia" w:hAnsiTheme="minorEastAsia" w:eastAsiaTheme="minorEastAsia"/>
                <w:szCs w:val="21"/>
                <w:lang w:val="en-US" w:eastAsia="zh-CN"/>
              </w:rPr>
              <w:t>销售</w:t>
            </w:r>
            <w:r>
              <w:rPr>
                <w:rFonts w:hint="eastAsia" w:asciiTheme="minorEastAsia" w:hAnsiTheme="minorEastAsia" w:eastAsiaTheme="minorEastAsia"/>
                <w:szCs w:val="21"/>
              </w:rPr>
              <w:t>现场和部门。</w:t>
            </w:r>
          </w:p>
          <w:p>
            <w:pPr>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不适用条款：ISO9001：2015标准</w:t>
            </w:r>
            <w:r>
              <w:rPr>
                <w:rFonts w:asciiTheme="minorEastAsia" w:hAnsiTheme="minorEastAsia" w:eastAsiaTheme="minorEastAsia"/>
                <w:szCs w:val="21"/>
              </w:rPr>
              <w:t>8.3</w:t>
            </w:r>
            <w:r>
              <w:rPr>
                <w:rFonts w:hint="eastAsia" w:asciiTheme="minorEastAsia" w:hAnsiTheme="minorEastAsia" w:eastAsiaTheme="minorEastAsia"/>
                <w:szCs w:val="21"/>
              </w:rPr>
              <w:t>条款。理由是：本公司的产品线路铁件、电力金具为电力、通讯等行业的标准件，国家标准行业标准对技术要求、形状、规格尺寸均规定清楚，有产品图纸，本公司按照客户要求标准生产加工，不承担设计的职责。按照招标投标法、与顾客签订的协议进行产品的销售和交付，均为常规销售，本公司未进行销售模式和销售渠道的开发。</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管理体系及其过程</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color w:val="auto"/>
                <w:u w:val="none"/>
              </w:rPr>
            </w:pPr>
            <w:r>
              <w:rPr>
                <w:rFonts w:hint="eastAsia" w:asciiTheme="minorEastAsia" w:hAnsiTheme="minorEastAsia" w:eastAsiaTheme="minorEastAsia"/>
                <w:szCs w:val="21"/>
              </w:rPr>
              <w:t>4.4</w:t>
            </w:r>
          </w:p>
          <w:p>
            <w:pPr>
              <w:pStyle w:val="2"/>
              <w:adjustRightInd/>
              <w:spacing w:line="288" w:lineRule="auto"/>
              <w:rPr>
                <w:rFonts w:asciiTheme="minorEastAsia" w:hAnsiTheme="minorEastAsia" w:eastAsiaTheme="minorEastAsia"/>
                <w:color w:val="auto"/>
                <w:u w:val="none"/>
              </w:rPr>
            </w:pPr>
          </w:p>
        </w:tc>
        <w:tc>
          <w:tcPr>
            <w:tcW w:w="11490" w:type="dxa"/>
          </w:tcPr>
          <w:p>
            <w:pPr>
              <w:spacing w:line="288" w:lineRule="auto"/>
              <w:ind w:right="100"/>
            </w:pPr>
            <w:r>
              <w:rPr>
                <w:rFonts w:hint="eastAsia"/>
              </w:rPr>
              <w:t>本公司编制管理手册，按照标准的要求，结合4.1和4.2相应信息，建立、实施、保持和持续改进管理体系与环境绩效，控制危险源，包括所需过程及其相互作用。</w:t>
            </w:r>
          </w:p>
          <w:p>
            <w:pPr>
              <w:spacing w:line="288" w:lineRule="auto"/>
              <w:ind w:right="100"/>
            </w:pPr>
            <w:r>
              <w:rPr>
                <w:rFonts w:hint="eastAsia"/>
              </w:rPr>
              <w:t>公司根据生产和服务过程控制要求，制定相应的程序文件、管理规范、工艺文件、操作规范等体系文件，支持质量管理体系各过程运行。</w:t>
            </w:r>
          </w:p>
          <w:p>
            <w:pPr>
              <w:spacing w:line="288" w:lineRule="auto"/>
              <w:ind w:right="100"/>
            </w:pPr>
            <w:r>
              <w:rPr>
                <w:rFonts w:hint="eastAsia"/>
              </w:rPr>
              <w:t>查看《程序文件》包含：环境因素和危险源识别评价与控制程序、环境和职业健康安全法律法规控制程序、人力资源控制程序、信息交流控制程序、文件控制程、运行控制程序等23个控制程序，以支持管理体系运行各过程。</w:t>
            </w:r>
          </w:p>
          <w:p>
            <w:pPr>
              <w:spacing w:line="288" w:lineRule="auto"/>
              <w:ind w:right="100"/>
            </w:pPr>
            <w:r>
              <w:rPr>
                <w:rFonts w:hint="eastAsia"/>
              </w:rPr>
              <w:t>查看：《作业文件》包含岗位任职资格、监视测量设备控制规定、化学品储存使用管理办法、生产车间噪声控制作业指导书等16项相关管理制度和操作规程，以规范管理，支持管理体系各过程运行。</w:t>
            </w:r>
          </w:p>
          <w:p>
            <w:pPr>
              <w:spacing w:line="288" w:lineRule="auto"/>
              <w:ind w:right="100"/>
              <w:rPr>
                <w:rFonts w:hint="eastAsia"/>
              </w:rPr>
            </w:pPr>
            <w:r>
              <w:rPr>
                <w:rFonts w:hint="eastAsia"/>
              </w:rPr>
              <w:t>目前管理体系运行正常。</w:t>
            </w:r>
          </w:p>
          <w:p>
            <w:pPr>
              <w:bidi w:val="0"/>
              <w:rPr>
                <w:rFonts w:hint="default" w:eastAsia="宋体"/>
                <w:lang w:val="en-US" w:eastAsia="zh-CN"/>
              </w:rPr>
            </w:pPr>
            <w:r>
              <w:rPr>
                <w:rFonts w:hint="eastAsia"/>
                <w:lang w:val="en-US" w:eastAsia="zh-CN"/>
              </w:rPr>
              <w:t>外包过程：产品运输、镀锌。</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管理方针</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5.2</w:t>
            </w:r>
          </w:p>
        </w:tc>
        <w:tc>
          <w:tcPr>
            <w:tcW w:w="11490"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质量环境职业健康安全方针：</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科学管理，遵守法规，预防污染，持续改进，为社会及员工提供一个健康、安全的工作生活环境，提供用户满意的优质产品，创国内一流品牌。</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方针沟通方式：</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公司在手册中对方针进行公开声明，在公司内部会议进行宣讲、沟通，全体员工能够准确理解其含义并在工作中贯彻落实方针。在与相关方沟通时，可向相关方说明公司方针。</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公司制定了《信息交流控制程序》以确定公司内外部信息沟通的程序。</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管理目标</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6.2</w:t>
            </w:r>
          </w:p>
        </w:tc>
        <w:tc>
          <w:tcPr>
            <w:tcW w:w="11490"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目标：</w:t>
            </w:r>
          </w:p>
          <w:p>
            <w:pPr>
              <w:spacing w:line="288" w:lineRule="auto"/>
              <w:ind w:right="100"/>
              <w:rPr>
                <w:rFonts w:asciiTheme="minorEastAsia" w:hAnsiTheme="minorEastAsia" w:eastAsiaTheme="minorEastAsia"/>
                <w:szCs w:val="21"/>
              </w:rPr>
            </w:pPr>
            <w:r>
              <w:rPr>
                <w:rFonts w:hint="eastAsia" w:cs="Times New Roman" w:asciiTheme="minorEastAsia" w:hAnsiTheme="minorEastAsia" w:eastAsiaTheme="minorEastAsia"/>
                <w:szCs w:val="21"/>
                <w:lang w:val="en-US" w:eastAsia="zh-CN"/>
              </w:rPr>
              <w:t>产品一次交验合格率90%以上；</w:t>
            </w:r>
            <w:r>
              <w:rPr>
                <w:rFonts w:hint="eastAsia" w:asciiTheme="minorEastAsia" w:hAnsiTheme="minorEastAsia" w:eastAsiaTheme="minorEastAsia"/>
                <w:szCs w:val="21"/>
              </w:rPr>
              <w:t>顾客满意度95分以上；固废分类处置率100%；</w:t>
            </w:r>
            <w:r>
              <w:rPr>
                <w:rFonts w:hint="eastAsia" w:ascii="Times New Roman" w:hAnsi="Times New Roman" w:cs="宋体"/>
              </w:rPr>
              <w:t>噪声、废气达标排放</w:t>
            </w:r>
            <w:r>
              <w:rPr>
                <w:rFonts w:hint="eastAsia" w:ascii="Times New Roman" w:hAnsi="Times New Roman" w:cs="宋体"/>
                <w:lang w:eastAsia="zh-CN"/>
              </w:rPr>
              <w:t>；</w:t>
            </w:r>
            <w:r>
              <w:rPr>
                <w:rFonts w:hint="eastAsia" w:asciiTheme="minorEastAsia" w:hAnsiTheme="minorEastAsia" w:eastAsiaTheme="minorEastAsia"/>
                <w:szCs w:val="21"/>
              </w:rPr>
              <w:t>轻伤事故少于3起/年；无火灾及重大安全事故发生</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无职业病发生。</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目标可测量，与管理方针一致，公司相关部门和层次建立了分目标，形成了体系。</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公司提供了《环境与安全目标管理方案》，《各部门目标指标分解》，《目标指标考核记录》等，目标分解到位，管理方案合理。</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资源条件</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7.1</w:t>
            </w:r>
          </w:p>
        </w:tc>
        <w:tc>
          <w:tcPr>
            <w:tcW w:w="11490"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公司共有25人。</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部门： 生产技术部、办公室、供销部。</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生产设备：开式可倾压力机、80吨开式双柱可倾压力机、</w:t>
            </w:r>
            <w:r>
              <w:rPr>
                <w:rFonts w:hint="eastAsia" w:asciiTheme="minorEastAsia" w:hAnsiTheme="minorEastAsia" w:eastAsiaTheme="minorEastAsia"/>
                <w:szCs w:val="21"/>
                <w:lang w:val="en-US" w:eastAsia="zh-CN"/>
              </w:rPr>
              <w:t>电焊机、</w:t>
            </w:r>
            <w:r>
              <w:rPr>
                <w:rFonts w:hint="eastAsia" w:asciiTheme="minorEastAsia" w:hAnsiTheme="minorEastAsia" w:eastAsiaTheme="minorEastAsia"/>
                <w:szCs w:val="21"/>
              </w:rPr>
              <w:t>深喉口实压力机等。</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监视测量设备：</w:t>
            </w:r>
            <w:r>
              <w:rPr>
                <w:rFonts w:hint="eastAsia"/>
                <w:sz w:val="21"/>
                <w:szCs w:val="21"/>
                <w:lang w:val="en-US" w:eastAsia="zh-CN"/>
              </w:rPr>
              <w:t>三元素分析仪、涂层测厚仪、万能试验机、游标卡尺、钢卷尺</w:t>
            </w:r>
            <w:r>
              <w:rPr>
                <w:rFonts w:hint="eastAsia" w:asciiTheme="minorEastAsia" w:hAnsiTheme="minorEastAsia" w:eastAsiaTheme="minorEastAsia"/>
                <w:szCs w:val="21"/>
              </w:rPr>
              <w:t>等。</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公司有办公场所</w:t>
            </w:r>
            <w:r>
              <w:rPr>
                <w:rFonts w:hint="eastAsia" w:asciiTheme="minorEastAsia" w:hAnsiTheme="minorEastAsia" w:eastAsiaTheme="minorEastAsia"/>
                <w:szCs w:val="21"/>
                <w:lang w:val="en-US" w:eastAsia="zh-CN"/>
              </w:rPr>
              <w:t>100平米</w:t>
            </w:r>
            <w:r>
              <w:rPr>
                <w:rFonts w:hint="eastAsia" w:asciiTheme="minorEastAsia" w:hAnsiTheme="minorEastAsia" w:eastAsiaTheme="minorEastAsia"/>
                <w:szCs w:val="21"/>
              </w:rPr>
              <w:t>、生产车间</w:t>
            </w:r>
            <w:r>
              <w:rPr>
                <w:rFonts w:hint="eastAsia" w:asciiTheme="minorEastAsia" w:hAnsiTheme="minorEastAsia" w:eastAsiaTheme="minorEastAsia"/>
                <w:szCs w:val="21"/>
                <w:lang w:val="en-US" w:eastAsia="zh-CN"/>
              </w:rPr>
              <w:t>500平米</w:t>
            </w:r>
            <w:r>
              <w:rPr>
                <w:rFonts w:hint="eastAsia" w:asciiTheme="minorEastAsia" w:hAnsiTheme="minorEastAsia" w:eastAsiaTheme="minorEastAsia"/>
                <w:szCs w:val="21"/>
              </w:rPr>
              <w:t>、仓储地等必要的生产环境。</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内审</w:t>
            </w:r>
          </w:p>
        </w:tc>
        <w:tc>
          <w:tcPr>
            <w:tcW w:w="869" w:type="dxa"/>
          </w:tcPr>
          <w:p>
            <w:pPr>
              <w:bidi w:val="0"/>
              <w:rPr>
                <w:rFonts w:asciiTheme="minorEastAsia" w:hAnsiTheme="minorEastAsia" w:eastAsiaTheme="minorEastAsia"/>
                <w:color w:val="auto"/>
                <w:u w:val="none"/>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9.2</w:t>
            </w:r>
          </w:p>
        </w:tc>
        <w:tc>
          <w:tcPr>
            <w:tcW w:w="11490"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制定了《内审控制程序》，今年内审于2020年8月17日—18日进行，结论：运行基本良好，基本符合，有内部审核计划表、内部审核报告、不合格报告等。</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管理评审</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9.3</w:t>
            </w:r>
          </w:p>
        </w:tc>
        <w:tc>
          <w:tcPr>
            <w:tcW w:w="11490" w:type="dxa"/>
          </w:tcPr>
          <w:p>
            <w:pPr>
              <w:spacing w:line="288" w:lineRule="auto"/>
              <w:ind w:right="100"/>
              <w:rPr>
                <w:rFonts w:cs="宋体" w:asciiTheme="minorEastAsia" w:hAnsiTheme="minorEastAsia" w:eastAsiaTheme="minorEastAsia"/>
                <w:szCs w:val="21"/>
              </w:rPr>
            </w:pPr>
            <w:r>
              <w:rPr>
                <w:rFonts w:hint="eastAsia" w:asciiTheme="minorEastAsia" w:hAnsiTheme="minorEastAsia" w:eastAsiaTheme="minorEastAsia"/>
                <w:szCs w:val="21"/>
              </w:rPr>
              <w:t>公司制定了《管理评审控制程序》，</w:t>
            </w:r>
          </w:p>
          <w:p>
            <w:pPr>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今年管理评审于2020年8月30进行，结论：现行的管理体系是适宜的和有效的，并有能力实现本公司所制定的方针和目标。</w:t>
            </w:r>
          </w:p>
        </w:tc>
        <w:tc>
          <w:tcPr>
            <w:tcW w:w="709" w:type="dxa"/>
          </w:tcPr>
          <w:p>
            <w:pPr>
              <w:rPr>
                <w:szCs w:val="21"/>
              </w:rPr>
            </w:pPr>
          </w:p>
        </w:tc>
      </w:tr>
    </w:tbl>
    <w:p>
      <w:pPr>
        <w:rPr>
          <w:rFonts w:ascii="楷体" w:hAnsi="楷体" w:eastAsia="楷体"/>
          <w:szCs w:val="21"/>
        </w:rPr>
      </w:pPr>
    </w:p>
    <w:p>
      <w:pPr>
        <w:pStyle w:val="7"/>
        <w:rPr>
          <w:rFonts w:ascii="楷体" w:hAnsi="楷体" w:eastAsia="楷体"/>
          <w:sz w:val="21"/>
          <w:szCs w:val="21"/>
        </w:rPr>
      </w:pPr>
    </w:p>
    <w:tbl>
      <w:tblPr>
        <w:tblStyle w:val="9"/>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69" w:type="dxa"/>
            <w:vMerge w:val="restart"/>
            <w:vAlign w:val="center"/>
          </w:tcPr>
          <w:p>
            <w:pPr>
              <w:rPr>
                <w:szCs w:val="21"/>
              </w:rPr>
            </w:pPr>
            <w:r>
              <w:rPr>
                <w:szCs w:val="21"/>
              </w:rPr>
              <w:t>涉及</w:t>
            </w:r>
          </w:p>
          <w:p>
            <w:pPr>
              <w:rPr>
                <w:szCs w:val="21"/>
              </w:rPr>
            </w:pPr>
            <w:r>
              <w:rPr>
                <w:szCs w:val="21"/>
              </w:rPr>
              <w:t>条款</w:t>
            </w:r>
          </w:p>
        </w:tc>
        <w:tc>
          <w:tcPr>
            <w:tcW w:w="11490" w:type="dxa"/>
            <w:vAlign w:val="center"/>
          </w:tcPr>
          <w:p>
            <w:pPr>
              <w:rPr>
                <w:szCs w:val="21"/>
              </w:rPr>
            </w:pPr>
            <w:r>
              <w:rPr>
                <w:szCs w:val="21"/>
              </w:rPr>
              <w:t>受审核部门：</w:t>
            </w:r>
            <w:r>
              <w:rPr>
                <w:rFonts w:hint="eastAsia"/>
                <w:szCs w:val="21"/>
              </w:rPr>
              <w:t>办公室</w:t>
            </w:r>
            <w:r>
              <w:rPr>
                <w:szCs w:val="21"/>
              </w:rPr>
              <w:t xml:space="preserve">          主管领导： </w:t>
            </w:r>
            <w:r>
              <w:rPr>
                <w:rFonts w:hint="eastAsia"/>
                <w:szCs w:val="21"/>
              </w:rPr>
              <w:t>王威威</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szCs w:val="21"/>
              </w:rPr>
            </w:pPr>
            <w:r>
              <w:rPr>
                <w:szCs w:val="21"/>
              </w:rPr>
              <w:t xml:space="preserve">审核员： </w:t>
            </w:r>
            <w:r>
              <w:rPr>
                <w:rFonts w:hint="eastAsia"/>
                <w:szCs w:val="21"/>
              </w:rPr>
              <w:t>李蒙生</w:t>
            </w:r>
            <w:r>
              <w:rPr>
                <w:szCs w:val="21"/>
              </w:rPr>
              <w:t xml:space="preserve">            审核时间：</w:t>
            </w:r>
            <w:r>
              <w:rPr>
                <w:rFonts w:hint="eastAsia"/>
                <w:szCs w:val="21"/>
              </w:rPr>
              <w:t>2020.11.17</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szCs w:val="21"/>
              </w:rPr>
              <w:t>审核条款：</w:t>
            </w:r>
            <w:r>
              <w:rPr>
                <w:rFonts w:hint="eastAsia"/>
                <w:szCs w:val="21"/>
              </w:rPr>
              <w:t xml:space="preserve"> Q7.1.6/7.5；EO 6.1.2/6.1.3/6.2.2/7.5/8.2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9" w:hRule="atLeast"/>
        </w:trPr>
        <w:tc>
          <w:tcPr>
            <w:tcW w:w="1622" w:type="dxa"/>
          </w:tcPr>
          <w:p>
            <w:pPr>
              <w:spacing w:line="288" w:lineRule="auto"/>
              <w:ind w:right="100"/>
              <w:rPr>
                <w:rFonts w:ascii="宋体" w:hAnsi="宋体"/>
                <w:szCs w:val="21"/>
              </w:rPr>
            </w:pPr>
            <w:r>
              <w:rPr>
                <w:rFonts w:hint="eastAsia" w:ascii="宋体" w:hAnsi="宋体"/>
                <w:szCs w:val="21"/>
              </w:rPr>
              <w:t>组织的知识、文件化信息</w:t>
            </w:r>
          </w:p>
        </w:tc>
        <w:tc>
          <w:tcPr>
            <w:tcW w:w="869" w:type="dxa"/>
          </w:tcPr>
          <w:p>
            <w:pPr>
              <w:spacing w:line="288" w:lineRule="auto"/>
              <w:ind w:right="100"/>
              <w:rPr>
                <w:rFonts w:hint="eastAsia" w:ascii="宋体" w:hAnsi="宋体"/>
                <w:szCs w:val="21"/>
              </w:rPr>
            </w:pPr>
            <w:r>
              <w:rPr>
                <w:rFonts w:hint="eastAsia" w:ascii="宋体" w:hAnsi="宋体"/>
                <w:szCs w:val="21"/>
              </w:rPr>
              <w:t>Q</w:t>
            </w:r>
          </w:p>
          <w:p>
            <w:pPr>
              <w:spacing w:line="288" w:lineRule="auto"/>
              <w:ind w:right="100"/>
              <w:rPr>
                <w:rFonts w:ascii="宋体" w:hAnsi="宋体"/>
                <w:szCs w:val="21"/>
              </w:rPr>
            </w:pPr>
            <w:r>
              <w:rPr>
                <w:rFonts w:hint="eastAsia" w:ascii="宋体" w:hAnsi="宋体"/>
                <w:szCs w:val="21"/>
              </w:rPr>
              <w:t>7.1.6</w:t>
            </w:r>
          </w:p>
          <w:p>
            <w:pPr>
              <w:spacing w:line="288" w:lineRule="auto"/>
              <w:ind w:right="100"/>
              <w:rPr>
                <w:rFonts w:hint="eastAsia" w:ascii="宋体" w:hAnsi="宋体"/>
                <w:szCs w:val="21"/>
              </w:rPr>
            </w:pPr>
            <w:r>
              <w:rPr>
                <w:rFonts w:hint="eastAsia" w:ascii="宋体" w:hAnsi="宋体"/>
                <w:szCs w:val="21"/>
              </w:rPr>
              <w:t>QEO</w:t>
            </w:r>
          </w:p>
          <w:p>
            <w:pPr>
              <w:spacing w:line="288" w:lineRule="auto"/>
              <w:ind w:right="100"/>
              <w:rPr>
                <w:rFonts w:ascii="宋体" w:hAnsi="宋体"/>
                <w:szCs w:val="21"/>
              </w:rPr>
            </w:pPr>
            <w:r>
              <w:rPr>
                <w:rFonts w:hint="eastAsia" w:ascii="宋体" w:hAnsi="宋体"/>
                <w:szCs w:val="21"/>
              </w:rPr>
              <w:t>7.5</w:t>
            </w:r>
          </w:p>
        </w:tc>
        <w:tc>
          <w:tcPr>
            <w:tcW w:w="11490" w:type="dxa"/>
          </w:tcPr>
          <w:p>
            <w:pPr>
              <w:spacing w:line="288" w:lineRule="auto"/>
              <w:ind w:right="100"/>
              <w:rPr>
                <w:rFonts w:ascii="宋体" w:hAnsi="宋体"/>
                <w:szCs w:val="21"/>
              </w:rPr>
            </w:pPr>
            <w:r>
              <w:rPr>
                <w:rFonts w:hint="eastAsia" w:ascii="宋体" w:hAnsi="宋体"/>
                <w:szCs w:val="21"/>
              </w:rPr>
              <w:t>公司建立了管理体系文件包括：</w:t>
            </w:r>
          </w:p>
          <w:p>
            <w:pPr>
              <w:spacing w:line="288" w:lineRule="auto"/>
              <w:ind w:right="100"/>
              <w:rPr>
                <w:rFonts w:ascii="宋体" w:hAnsi="宋体"/>
                <w:szCs w:val="21"/>
              </w:rPr>
            </w:pPr>
            <w:r>
              <w:rPr>
                <w:rFonts w:hint="eastAsia" w:ascii="宋体" w:hAnsi="宋体"/>
                <w:szCs w:val="21"/>
              </w:rPr>
              <w:t>1.管理手册，文件编号：MXTX</w:t>
            </w:r>
            <w:r>
              <w:rPr>
                <w:rFonts w:ascii="宋体" w:hAnsi="宋体"/>
                <w:szCs w:val="21"/>
              </w:rPr>
              <w:t>-</w:t>
            </w:r>
            <w:r>
              <w:rPr>
                <w:rFonts w:hint="eastAsia" w:ascii="宋体" w:hAnsi="宋体"/>
                <w:szCs w:val="21"/>
              </w:rPr>
              <w:t>SC</w:t>
            </w:r>
            <w:r>
              <w:rPr>
                <w:rFonts w:ascii="宋体" w:hAnsi="宋体"/>
                <w:szCs w:val="21"/>
              </w:rPr>
              <w:t>-2020</w:t>
            </w:r>
            <w:r>
              <w:rPr>
                <w:rFonts w:hint="eastAsia" w:ascii="宋体" w:hAnsi="宋体"/>
                <w:szCs w:val="21"/>
              </w:rPr>
              <w:t>，版本：A/0,编制：办公室，审核：马昆明，批准：马昆明，2020年04月01日发布，2020年04月01日实施</w:t>
            </w:r>
          </w:p>
          <w:p>
            <w:pPr>
              <w:spacing w:line="288" w:lineRule="auto"/>
              <w:ind w:right="100"/>
              <w:rPr>
                <w:rFonts w:ascii="宋体" w:hAnsi="宋体"/>
                <w:szCs w:val="21"/>
              </w:rPr>
            </w:pPr>
            <w:r>
              <w:rPr>
                <w:rFonts w:hint="eastAsia" w:ascii="宋体" w:hAnsi="宋体"/>
                <w:szCs w:val="21"/>
              </w:rPr>
              <w:t>2.程序文件，文件编号：MXTX</w:t>
            </w:r>
            <w:r>
              <w:rPr>
                <w:rFonts w:ascii="宋体" w:hAnsi="宋体"/>
                <w:szCs w:val="21"/>
              </w:rPr>
              <w:t>-</w:t>
            </w:r>
            <w:r>
              <w:rPr>
                <w:rFonts w:hint="eastAsia" w:ascii="宋体" w:hAnsi="宋体"/>
                <w:szCs w:val="21"/>
              </w:rPr>
              <w:t>CX</w:t>
            </w:r>
            <w:r>
              <w:rPr>
                <w:rFonts w:ascii="宋体" w:hAnsi="宋体"/>
                <w:szCs w:val="21"/>
              </w:rPr>
              <w:t>-2020</w:t>
            </w:r>
            <w:r>
              <w:rPr>
                <w:rFonts w:hint="eastAsia" w:ascii="宋体" w:hAnsi="宋体"/>
                <w:szCs w:val="21"/>
              </w:rPr>
              <w:t>，版本：A/0，编制：办公室，审核：马昆明，批准：马昆明，2020年04月01日生效，内含20个文件，包括标准要求的形成文件的信息</w:t>
            </w:r>
          </w:p>
          <w:p>
            <w:pPr>
              <w:spacing w:line="288" w:lineRule="auto"/>
              <w:ind w:right="100"/>
              <w:rPr>
                <w:rFonts w:ascii="宋体" w:hAnsi="宋体"/>
                <w:szCs w:val="21"/>
              </w:rPr>
            </w:pPr>
            <w:r>
              <w:rPr>
                <w:rFonts w:hint="eastAsia" w:ascii="宋体" w:hAnsi="宋体"/>
                <w:szCs w:val="21"/>
              </w:rPr>
              <w:t>3.体系运行所需要的的文件和记录</w:t>
            </w:r>
          </w:p>
          <w:p>
            <w:pPr>
              <w:spacing w:line="288" w:lineRule="auto"/>
              <w:ind w:right="100"/>
              <w:rPr>
                <w:rFonts w:ascii="宋体" w:hAnsi="宋体"/>
                <w:szCs w:val="21"/>
              </w:rPr>
            </w:pPr>
            <w:r>
              <w:rPr>
                <w:rFonts w:hint="eastAsia" w:ascii="宋体" w:hAnsi="宋体"/>
                <w:szCs w:val="21"/>
              </w:rPr>
              <w:t>提供有《作业文件》，内容包含：岗位任职资格、监视测量设备控制程序、化学品储存使用管理办法、生产车间噪声控制作业指导书、火灾应急预案、触电事故应急预案、员工职业健康及劳动保护管理规定、安全生产管理制度、质量管理制度等相关管理制度和操作规程.</w:t>
            </w:r>
          </w:p>
          <w:p>
            <w:pPr>
              <w:spacing w:line="288" w:lineRule="auto"/>
              <w:ind w:right="100"/>
              <w:rPr>
                <w:rFonts w:ascii="宋体" w:hAnsi="宋体"/>
                <w:szCs w:val="21"/>
              </w:rPr>
            </w:pPr>
            <w:r>
              <w:rPr>
                <w:rFonts w:hint="eastAsia" w:ascii="宋体" w:hAnsi="宋体"/>
                <w:szCs w:val="21"/>
              </w:rPr>
              <w:t>制定了《文件控制程序》，规定了文件分类和保管、管理体系文件的编号，文件的编写、审核、批准、发放，文件受控状态，文件更改或换版、文件领用、文件保存与销毁、外来文件控制、文件评审的相关要求。有受控文件清单。</w:t>
            </w:r>
          </w:p>
          <w:p>
            <w:pPr>
              <w:spacing w:line="288" w:lineRule="auto"/>
              <w:ind w:right="100"/>
              <w:rPr>
                <w:rFonts w:ascii="宋体" w:hAnsi="宋体"/>
                <w:szCs w:val="21"/>
              </w:rPr>
            </w:pPr>
            <w:r>
              <w:rPr>
                <w:rFonts w:hint="eastAsia" w:ascii="宋体" w:hAnsi="宋体"/>
                <w:szCs w:val="21"/>
              </w:rPr>
              <w:t>制定了《记录控制程序》，规定了记录的负责部门、记录的标识编号、记录的填写、记录的保存和保护、记录的发放借阅和复制、记录的销毁处理、记录格式等内容，有受控文件清单、文件发放回收记录等</w:t>
            </w:r>
          </w:p>
          <w:p>
            <w:pPr>
              <w:spacing w:line="288" w:lineRule="auto"/>
              <w:ind w:right="100"/>
              <w:rPr>
                <w:rFonts w:ascii="宋体" w:hAnsi="宋体"/>
                <w:szCs w:val="21"/>
              </w:rPr>
            </w:pPr>
            <w:r>
              <w:rPr>
                <w:rFonts w:hint="eastAsia" w:ascii="宋体" w:hAnsi="宋体"/>
                <w:szCs w:val="21"/>
              </w:rPr>
              <w:t>对外来文件进行了辨识和收集，提供了《外来文件清单》，包含：质量管理体系要求、环境管理体系要求及使用指南、职业健康安全管理体系要求及使用指南、中华人民共和国质量法、中华人民共和国安全生产法、中华人民共和国环境保护法、中华人民共和国消防法等。</w:t>
            </w:r>
          </w:p>
        </w:tc>
        <w:tc>
          <w:tcPr>
            <w:tcW w:w="709"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宋体" w:hAnsi="宋体"/>
                <w:szCs w:val="21"/>
              </w:rPr>
            </w:pPr>
            <w:r>
              <w:rPr>
                <w:rFonts w:hint="eastAsia" w:ascii="宋体" w:hAnsi="宋体"/>
                <w:szCs w:val="21"/>
              </w:rPr>
              <w:t>环境因素、危险源辨识评价</w:t>
            </w:r>
          </w:p>
        </w:tc>
        <w:tc>
          <w:tcPr>
            <w:tcW w:w="869" w:type="dxa"/>
          </w:tcPr>
          <w:p>
            <w:pPr>
              <w:spacing w:line="288" w:lineRule="auto"/>
              <w:ind w:right="100"/>
              <w:rPr>
                <w:rFonts w:hint="eastAsia" w:ascii="宋体" w:hAnsi="宋体"/>
                <w:szCs w:val="21"/>
              </w:rPr>
            </w:pPr>
            <w:r>
              <w:rPr>
                <w:rFonts w:hint="eastAsia" w:ascii="宋体" w:hAnsi="宋体"/>
                <w:szCs w:val="21"/>
              </w:rPr>
              <w:t>EO</w:t>
            </w:r>
          </w:p>
          <w:p>
            <w:pPr>
              <w:spacing w:line="288" w:lineRule="auto"/>
              <w:ind w:right="100"/>
              <w:rPr>
                <w:rFonts w:ascii="宋体" w:hAnsi="宋体"/>
                <w:szCs w:val="21"/>
              </w:rPr>
            </w:pPr>
            <w:r>
              <w:rPr>
                <w:rFonts w:hint="eastAsia" w:ascii="宋体" w:hAnsi="宋体"/>
                <w:szCs w:val="21"/>
              </w:rPr>
              <w:t>6.1.2</w:t>
            </w:r>
          </w:p>
        </w:tc>
        <w:tc>
          <w:tcPr>
            <w:tcW w:w="11490" w:type="dxa"/>
          </w:tcPr>
          <w:p>
            <w:pPr>
              <w:spacing w:line="288" w:lineRule="auto"/>
              <w:ind w:right="100"/>
              <w:rPr>
                <w:rFonts w:ascii="宋体" w:hAnsi="宋体"/>
                <w:szCs w:val="21"/>
              </w:rPr>
            </w:pPr>
            <w:r>
              <w:rPr>
                <w:rFonts w:hint="eastAsia" w:ascii="宋体" w:hAnsi="宋体"/>
                <w:szCs w:val="21"/>
              </w:rPr>
              <w:t>公司制定有《环境因素和危险源识别评价与控制程序》，对公司范围内的环境因素和职业健康安全进行控制和施加影响。</w:t>
            </w:r>
          </w:p>
          <w:p>
            <w:pPr>
              <w:spacing w:line="288" w:lineRule="auto"/>
              <w:ind w:right="100"/>
              <w:rPr>
                <w:rFonts w:ascii="宋体" w:hAnsi="宋体"/>
                <w:szCs w:val="21"/>
              </w:rPr>
            </w:pPr>
            <w:r>
              <w:rPr>
                <w:rFonts w:hint="eastAsia" w:ascii="宋体" w:hAnsi="宋体"/>
                <w:szCs w:val="21"/>
              </w:rPr>
              <w:t>各部门按照生产活动过程对所涉及的环境因素及危险源进行识别评价。</w:t>
            </w:r>
          </w:p>
          <w:p>
            <w:pPr>
              <w:spacing w:line="288" w:lineRule="auto"/>
              <w:ind w:right="100"/>
              <w:rPr>
                <w:rFonts w:ascii="宋体" w:hAnsi="宋体"/>
                <w:szCs w:val="21"/>
              </w:rPr>
            </w:pPr>
            <w:r>
              <w:rPr>
                <w:rFonts w:hint="eastAsia" w:ascii="宋体" w:hAnsi="宋体"/>
                <w:szCs w:val="21"/>
              </w:rPr>
              <w:t>提供了《环境因素识别排查表》，识别的环境因素有：生活污水的排放、生活垃圾的排放、废粉的排放、废墨盒、硒鼓色带废弃、废旧电池的产生、辐射、废旧电池的产生、资源的利用、尾气的排放等，在此基础上识别出了重要环境因素，提供了《重要环境因素清单》，重要环境因素有：固体废弃物排放、潜在火灾、</w:t>
            </w:r>
            <w:r>
              <w:rPr>
                <w:rFonts w:hint="eastAsia" w:ascii="宋体" w:hAnsi="宋体"/>
                <w:szCs w:val="21"/>
                <w:lang w:val="en-US" w:eastAsia="zh-CN"/>
              </w:rPr>
              <w:t>废气排放</w:t>
            </w:r>
            <w:r>
              <w:rPr>
                <w:rFonts w:hint="eastAsia" w:ascii="宋体" w:hAnsi="宋体"/>
                <w:szCs w:val="21"/>
              </w:rPr>
              <w:t>、噪声排放。</w:t>
            </w:r>
          </w:p>
          <w:p>
            <w:pPr>
              <w:tabs>
                <w:tab w:val="left" w:pos="6329"/>
              </w:tabs>
              <w:spacing w:line="288" w:lineRule="auto"/>
              <w:ind w:right="100"/>
              <w:rPr>
                <w:rFonts w:ascii="宋体" w:hAnsi="宋体"/>
                <w:szCs w:val="21"/>
              </w:rPr>
            </w:pPr>
            <w:r>
              <w:rPr>
                <w:rFonts w:hint="eastAsia" w:ascii="宋体" w:hAnsi="宋体"/>
                <w:szCs w:val="21"/>
              </w:rPr>
              <w:t>提供了《危险源调查表》，危险源有：火灾、人体健康伤害、设备漏电、原料掉落、防护不当、设备运行、产品表面毛刺等，在此基础上识别出了重大危险源，查看《重大危险源清单》，重大危险源为：</w:t>
            </w:r>
            <w:r>
              <w:rPr>
                <w:rFonts w:hint="eastAsia" w:ascii="宋体" w:hAnsi="宋体"/>
                <w:szCs w:val="21"/>
                <w:lang w:val="en-US" w:eastAsia="zh-CN"/>
              </w:rPr>
              <w:t>火灾、意外伤害</w:t>
            </w:r>
            <w:r>
              <w:rPr>
                <w:rFonts w:hint="eastAsia" w:ascii="宋体" w:hAnsi="宋体"/>
                <w:szCs w:val="21"/>
              </w:rPr>
              <w:t>、机械伤害、噪声</w:t>
            </w:r>
            <w:r>
              <w:rPr>
                <w:rFonts w:hint="eastAsia" w:ascii="宋体" w:hAnsi="宋体"/>
                <w:szCs w:val="21"/>
                <w:lang w:val="en-US" w:eastAsia="zh-CN"/>
              </w:rPr>
              <w:t>伤害</w:t>
            </w:r>
            <w:r>
              <w:rPr>
                <w:rFonts w:hint="eastAsia" w:ascii="宋体" w:hAnsi="宋体"/>
                <w:szCs w:val="21"/>
              </w:rPr>
              <w:t>、触电等。</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宋体" w:hAnsi="宋体"/>
                <w:szCs w:val="21"/>
              </w:rPr>
            </w:pPr>
            <w:r>
              <w:rPr>
                <w:rFonts w:hint="eastAsia" w:ascii="宋体" w:hAnsi="宋体"/>
                <w:szCs w:val="21"/>
              </w:rPr>
              <w:t>法律法规识别评价</w:t>
            </w:r>
          </w:p>
        </w:tc>
        <w:tc>
          <w:tcPr>
            <w:tcW w:w="869" w:type="dxa"/>
          </w:tcPr>
          <w:p>
            <w:pPr>
              <w:spacing w:line="288" w:lineRule="auto"/>
              <w:ind w:right="100"/>
              <w:rPr>
                <w:rFonts w:hint="eastAsia" w:ascii="宋体" w:hAnsi="宋体"/>
                <w:szCs w:val="21"/>
              </w:rPr>
            </w:pPr>
            <w:r>
              <w:rPr>
                <w:rFonts w:hint="eastAsia" w:ascii="宋体" w:hAnsi="宋体"/>
                <w:szCs w:val="21"/>
              </w:rPr>
              <w:t>EO</w:t>
            </w:r>
          </w:p>
          <w:p>
            <w:pPr>
              <w:spacing w:line="288" w:lineRule="auto"/>
              <w:ind w:right="100"/>
              <w:rPr>
                <w:rFonts w:ascii="宋体" w:hAnsi="宋体"/>
                <w:szCs w:val="21"/>
              </w:rPr>
            </w:pPr>
            <w:r>
              <w:rPr>
                <w:rFonts w:hint="eastAsia" w:ascii="宋体" w:hAnsi="宋体"/>
                <w:szCs w:val="21"/>
              </w:rPr>
              <w:t>6.1.3</w:t>
            </w:r>
          </w:p>
        </w:tc>
        <w:tc>
          <w:tcPr>
            <w:tcW w:w="11490" w:type="dxa"/>
          </w:tcPr>
          <w:p>
            <w:pPr>
              <w:spacing w:line="288" w:lineRule="auto"/>
              <w:ind w:right="100"/>
              <w:rPr>
                <w:rFonts w:ascii="宋体" w:hAnsi="宋体"/>
                <w:szCs w:val="21"/>
              </w:rPr>
            </w:pPr>
            <w:r>
              <w:rPr>
                <w:rFonts w:hint="eastAsia" w:ascii="宋体" w:hAnsi="宋体"/>
                <w:szCs w:val="21"/>
              </w:rPr>
              <w:t>制定了《环境和职业健康安全法律法规控制程序》，对法律法规的获取的途径、识别、登记传达培训与记录、更新与作废、保存与查询等进行了规定。有适用的环境法律法规及其他要求清单，职业健康法律法规及其他要求清单，包含中华人民共和国环境保护法、中华人民共和国职业病防治法、中华人民共和国特种设备安全法、中华人民共和国安全生产法、劳动防护用品管理规定、中华人民共和国固体废物污染环境防治法、声环境质量标准等法律、法规、规章、标准等，有颁布部门及生效日。</w:t>
            </w:r>
          </w:p>
          <w:p>
            <w:pPr>
              <w:pStyle w:val="4"/>
              <w:spacing w:line="288" w:lineRule="auto"/>
              <w:ind w:firstLine="0" w:firstLineChars="0"/>
              <w:rPr>
                <w:rFonts w:ascii="宋体" w:hAnsi="宋体"/>
                <w:sz w:val="21"/>
                <w:szCs w:val="21"/>
              </w:rPr>
            </w:pPr>
            <w:r>
              <w:rPr>
                <w:rFonts w:hint="eastAsia" w:ascii="宋体" w:hAnsi="宋体" w:cs="微软雅黑"/>
                <w:sz w:val="21"/>
                <w:szCs w:val="21"/>
              </w:rPr>
              <w:t>公司于2020年8月26日组织开展本年度的合规性评价工作。对公司环境和职业健康安全管理体系运行过程中就法律法规遵循情况进行评价和分析，检查公司重要环境因素和不可接受风险对应法律法规相关标准遵循的符合性、自觉性、有效性，依据法律法规相关标准检查重要环境因素和不可接受风险的运行控制情况。</w:t>
            </w:r>
          </w:p>
          <w:p>
            <w:pPr>
              <w:pStyle w:val="2"/>
              <w:adjustRightInd/>
              <w:spacing w:line="288" w:lineRule="auto"/>
              <w:ind w:left="0"/>
              <w:rPr>
                <w:rFonts w:ascii="宋体" w:hAnsi="宋体" w:cs="微软雅黑"/>
                <w:bCs/>
                <w:color w:val="auto"/>
                <w:u w:val="none"/>
              </w:rPr>
            </w:pPr>
            <w:r>
              <w:rPr>
                <w:rFonts w:hint="eastAsia" w:ascii="宋体" w:hAnsi="宋体"/>
                <w:color w:val="auto"/>
                <w:u w:val="none"/>
              </w:rPr>
              <w:t>参加人员：</w:t>
            </w:r>
            <w:r>
              <w:rPr>
                <w:rFonts w:hint="eastAsia" w:ascii="宋体" w:hAnsi="宋体" w:cs="微软雅黑"/>
                <w:bCs/>
                <w:color w:val="auto"/>
                <w:u w:val="none"/>
              </w:rPr>
              <w:t>马昆明、王威威、马书申、崔艳斌、王辉、李明记、顾运彪</w:t>
            </w:r>
          </w:p>
          <w:p>
            <w:pPr>
              <w:spacing w:line="288" w:lineRule="auto"/>
              <w:rPr>
                <w:rFonts w:ascii="宋体" w:hAnsi="宋体"/>
                <w:szCs w:val="21"/>
              </w:rPr>
            </w:pPr>
            <w:r>
              <w:rPr>
                <w:rFonts w:hint="eastAsia" w:ascii="宋体" w:hAnsi="宋体"/>
                <w:szCs w:val="21"/>
              </w:rPr>
              <w:t>评价范围：</w:t>
            </w:r>
            <w:r>
              <w:rPr>
                <w:rFonts w:hint="eastAsia" w:ascii="宋体" w:hAnsi="宋体" w:cs="微软雅黑"/>
                <w:szCs w:val="21"/>
              </w:rPr>
              <w:t>公司线路铁件、电力金具的生产；线路铁件、电力金具的生产；钢绞线、钢芯铝绞线、井具及配件、油木杆、电缆桥架、水泥制品、地锚石、标石、光缆箱、机柜的销售过程及区域范围内涉及的环境因素、危险源</w:t>
            </w:r>
          </w:p>
          <w:p>
            <w:pPr>
              <w:pStyle w:val="2"/>
              <w:adjustRightInd/>
              <w:spacing w:line="288" w:lineRule="auto"/>
              <w:ind w:left="0"/>
              <w:rPr>
                <w:rFonts w:ascii="宋体" w:hAnsi="宋体"/>
                <w:color w:val="auto"/>
                <w:u w:val="none"/>
              </w:rPr>
            </w:pPr>
            <w:r>
              <w:rPr>
                <w:rFonts w:hint="eastAsia" w:ascii="宋体" w:hAnsi="宋体"/>
                <w:color w:val="auto"/>
                <w:u w:val="none"/>
              </w:rPr>
              <w:t>提供了《2020年度合规性评价综述》，内容包含评价项目、适用的法律法规、评价内容、执行情况、评价结果。</w:t>
            </w:r>
          </w:p>
          <w:p>
            <w:pPr>
              <w:pStyle w:val="2"/>
              <w:adjustRightInd/>
              <w:spacing w:line="288" w:lineRule="auto"/>
              <w:ind w:left="0"/>
              <w:rPr>
                <w:rFonts w:ascii="宋体" w:hAnsi="宋体"/>
                <w:color w:val="auto"/>
              </w:rPr>
            </w:pPr>
            <w:r>
              <w:rPr>
                <w:rFonts w:hint="eastAsia" w:ascii="宋体" w:hAnsi="宋体"/>
                <w:color w:val="auto"/>
                <w:u w:val="none"/>
              </w:rPr>
              <w:t>目前公司识别并执行的法律法规等均满足要求。</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宋体" w:hAnsi="宋体"/>
                <w:szCs w:val="21"/>
              </w:rPr>
            </w:pPr>
            <w:r>
              <w:rPr>
                <w:rFonts w:hint="eastAsia" w:ascii="宋体" w:hAnsi="宋体"/>
                <w:szCs w:val="21"/>
              </w:rPr>
              <w:t>目标、指标及管理方案的可行性</w:t>
            </w:r>
          </w:p>
        </w:tc>
        <w:tc>
          <w:tcPr>
            <w:tcW w:w="869" w:type="dxa"/>
          </w:tcPr>
          <w:p>
            <w:pPr>
              <w:spacing w:line="288" w:lineRule="auto"/>
              <w:ind w:right="100"/>
              <w:rPr>
                <w:rFonts w:hint="eastAsia" w:ascii="宋体" w:hAnsi="宋体"/>
                <w:szCs w:val="21"/>
              </w:rPr>
            </w:pPr>
            <w:r>
              <w:rPr>
                <w:rFonts w:hint="eastAsia" w:ascii="宋体" w:hAnsi="宋体"/>
                <w:szCs w:val="21"/>
                <w:lang w:val="en-US" w:eastAsia="zh-CN"/>
              </w:rPr>
              <w:t>E</w:t>
            </w:r>
            <w:r>
              <w:rPr>
                <w:rFonts w:hint="eastAsia" w:ascii="宋体" w:hAnsi="宋体"/>
                <w:szCs w:val="21"/>
              </w:rPr>
              <w:t>O</w:t>
            </w:r>
          </w:p>
          <w:p>
            <w:pPr>
              <w:spacing w:line="288" w:lineRule="auto"/>
              <w:ind w:right="100"/>
              <w:rPr>
                <w:rFonts w:ascii="宋体" w:hAnsi="宋体"/>
                <w:szCs w:val="21"/>
              </w:rPr>
            </w:pPr>
            <w:r>
              <w:rPr>
                <w:rFonts w:hint="eastAsia" w:ascii="宋体" w:hAnsi="宋体"/>
                <w:szCs w:val="21"/>
              </w:rPr>
              <w:t>6.2.2</w:t>
            </w:r>
          </w:p>
        </w:tc>
        <w:tc>
          <w:tcPr>
            <w:tcW w:w="11490" w:type="dxa"/>
          </w:tcPr>
          <w:p>
            <w:pPr>
              <w:spacing w:line="288" w:lineRule="auto"/>
              <w:ind w:right="100"/>
            </w:pPr>
            <w:r>
              <w:rPr>
                <w:rFonts w:hint="eastAsia"/>
              </w:rPr>
              <w:t>本部门目标为：</w:t>
            </w:r>
          </w:p>
          <w:p>
            <w:pPr>
              <w:spacing w:line="288" w:lineRule="auto"/>
              <w:jc w:val="left"/>
            </w:pPr>
            <w:r>
              <w:rPr>
                <w:rFonts w:hint="eastAsia"/>
              </w:rPr>
              <w:t>文件受控率100%；</w:t>
            </w:r>
          </w:p>
          <w:p>
            <w:pPr>
              <w:spacing w:line="288" w:lineRule="auto"/>
              <w:jc w:val="left"/>
            </w:pPr>
            <w:r>
              <w:rPr>
                <w:rFonts w:hint="eastAsia"/>
              </w:rPr>
              <w:t>主要岗位培训率100%；</w:t>
            </w:r>
          </w:p>
          <w:p>
            <w:pPr>
              <w:spacing w:line="288" w:lineRule="auto"/>
              <w:jc w:val="left"/>
            </w:pPr>
            <w:r>
              <w:rPr>
                <w:rFonts w:hint="eastAsia"/>
              </w:rPr>
              <w:t>固废分类处置率100%；</w:t>
            </w:r>
          </w:p>
          <w:p>
            <w:pPr>
              <w:spacing w:line="288" w:lineRule="auto"/>
              <w:jc w:val="left"/>
            </w:pPr>
            <w:r>
              <w:rPr>
                <w:rFonts w:hint="eastAsia"/>
              </w:rPr>
              <w:t>安全及火灾事故为0；</w:t>
            </w:r>
          </w:p>
          <w:p>
            <w:pPr>
              <w:spacing w:line="288" w:lineRule="auto"/>
              <w:jc w:val="left"/>
            </w:pPr>
            <w:r>
              <w:rPr>
                <w:rFonts w:hint="eastAsia"/>
              </w:rPr>
              <w:t>环保安全资金落实率100%；</w:t>
            </w:r>
          </w:p>
          <w:p>
            <w:pPr>
              <w:spacing w:line="288" w:lineRule="auto"/>
              <w:rPr>
                <w:rFonts w:hint="eastAsia"/>
              </w:rPr>
            </w:pPr>
            <w:r>
              <w:rPr>
                <w:rFonts w:hint="eastAsia"/>
              </w:rPr>
              <w:t>按</w:t>
            </w:r>
            <w:r>
              <w:rPr>
                <w:rFonts w:hint="eastAsia"/>
                <w:lang w:val="en-US" w:eastAsia="zh-CN"/>
              </w:rPr>
              <w:t>季度</w:t>
            </w:r>
            <w:r>
              <w:rPr>
                <w:rFonts w:hint="eastAsia"/>
              </w:rPr>
              <w:t>进行目标考核，有考核记录。</w:t>
            </w:r>
          </w:p>
          <w:p>
            <w:pPr>
              <w:bidi w:val="0"/>
              <w:rPr>
                <w:rFonts w:hint="eastAsia"/>
              </w:rPr>
            </w:pPr>
            <w:r>
              <w:rPr>
                <w:rFonts w:hint="eastAsia"/>
                <w:lang w:val="en-US" w:eastAsia="zh-CN"/>
              </w:rPr>
              <w:t>抽——目标：</w:t>
            </w:r>
            <w:r>
              <w:rPr>
                <w:rFonts w:hint="eastAsia"/>
              </w:rPr>
              <w:t>固体废弃物100%分类；</w:t>
            </w:r>
          </w:p>
          <w:p>
            <w:pPr>
              <w:bidi w:val="0"/>
              <w:rPr>
                <w:rFonts w:hint="eastAsia"/>
                <w:lang w:val="en-US" w:eastAsia="zh-CN"/>
              </w:rPr>
            </w:pPr>
            <w:r>
              <w:rPr>
                <w:rFonts w:hint="eastAsia"/>
                <w:lang w:val="en-US" w:eastAsia="zh-CN"/>
              </w:rPr>
              <w:t>措施：</w:t>
            </w:r>
          </w:p>
          <w:p>
            <w:pPr>
              <w:bidi w:val="0"/>
              <w:rPr>
                <w:rFonts w:hint="eastAsia"/>
              </w:rPr>
            </w:pPr>
            <w:r>
              <w:rPr>
                <w:rFonts w:hint="eastAsia"/>
              </w:rPr>
              <w:t>1.对员工进行相应的培训；并加强日常的宣传、教育，确保危险固废集中收存；</w:t>
            </w:r>
          </w:p>
          <w:p>
            <w:pPr>
              <w:bidi w:val="0"/>
              <w:rPr>
                <w:rFonts w:hint="eastAsia"/>
              </w:rPr>
            </w:pPr>
            <w:r>
              <w:rPr>
                <w:rFonts w:hint="eastAsia"/>
              </w:rPr>
              <w:t>2.加强过程控制，工序改善、工艺改进、操作规范、实现固体废弃物最小化要求；</w:t>
            </w:r>
          </w:p>
          <w:p>
            <w:pPr>
              <w:bidi w:val="0"/>
              <w:rPr>
                <w:rFonts w:hint="eastAsia"/>
              </w:rPr>
            </w:pPr>
            <w:r>
              <w:rPr>
                <w:rFonts w:hint="eastAsia"/>
              </w:rPr>
              <w:t>3.设定专门的垃圾存入场所，做好防雨、防风、防渗漏，杜绝二次污染。"</w:t>
            </w:r>
            <w:r>
              <w:rPr>
                <w:rFonts w:hint="eastAsia"/>
              </w:rPr>
              <w:tab/>
            </w:r>
          </w:p>
          <w:p>
            <w:pPr>
              <w:bidi w:val="0"/>
              <w:rPr>
                <w:rFonts w:hint="eastAsia"/>
              </w:rPr>
            </w:pPr>
            <w:r>
              <w:rPr>
                <w:rFonts w:hint="eastAsia"/>
                <w:lang w:val="en-US" w:eastAsia="zh-CN"/>
              </w:rPr>
              <w:t>资金：</w:t>
            </w:r>
            <w:r>
              <w:rPr>
                <w:rFonts w:hint="eastAsia"/>
              </w:rPr>
              <w:t>5000</w:t>
            </w:r>
            <w:r>
              <w:rPr>
                <w:rFonts w:hint="eastAsia"/>
              </w:rPr>
              <w:tab/>
            </w:r>
            <w:r>
              <w:rPr>
                <w:rFonts w:hint="eastAsia"/>
                <w:lang w:val="en-US" w:eastAsia="zh-CN"/>
              </w:rPr>
              <w:t>进度：</w:t>
            </w:r>
            <w:r>
              <w:rPr>
                <w:rFonts w:hint="eastAsia"/>
              </w:rPr>
              <w:t>2020.4-12</w:t>
            </w:r>
            <w:r>
              <w:rPr>
                <w:rFonts w:hint="eastAsia"/>
              </w:rPr>
              <w:tab/>
            </w:r>
            <w:r>
              <w:rPr>
                <w:rFonts w:hint="eastAsia"/>
                <w:lang w:val="en-US" w:eastAsia="zh-CN"/>
              </w:rPr>
              <w:t>责任部门：</w:t>
            </w:r>
            <w:r>
              <w:rPr>
                <w:rFonts w:hint="eastAsia"/>
              </w:rPr>
              <w:t>生产技术部</w:t>
            </w:r>
          </w:p>
          <w:p>
            <w:pPr>
              <w:bidi w:val="0"/>
              <w:rPr>
                <w:rFonts w:hint="eastAsia"/>
              </w:rPr>
            </w:pPr>
            <w:r>
              <w:rPr>
                <w:rFonts w:hint="eastAsia"/>
                <w:lang w:val="en-US" w:eastAsia="zh-CN"/>
              </w:rPr>
              <w:t>抽——目标：</w:t>
            </w:r>
            <w:r>
              <w:rPr>
                <w:rFonts w:hint="eastAsia"/>
              </w:rPr>
              <w:t>火灾事故为0；</w:t>
            </w:r>
          </w:p>
          <w:p>
            <w:pPr>
              <w:bidi w:val="0"/>
              <w:rPr>
                <w:rFonts w:hint="eastAsia"/>
                <w:lang w:val="en-US" w:eastAsia="zh-CN"/>
              </w:rPr>
            </w:pPr>
            <w:r>
              <w:rPr>
                <w:rFonts w:hint="eastAsia"/>
                <w:lang w:val="en-US" w:eastAsia="zh-CN"/>
              </w:rPr>
              <w:t>措施：</w:t>
            </w:r>
          </w:p>
          <w:p>
            <w:pPr>
              <w:bidi w:val="0"/>
              <w:rPr>
                <w:rFonts w:hint="eastAsia"/>
              </w:rPr>
            </w:pPr>
            <w:r>
              <w:rPr>
                <w:rFonts w:hint="eastAsia"/>
              </w:rPr>
              <w:t>1.严格落实公司安全检查、整改制度；</w:t>
            </w:r>
          </w:p>
          <w:p>
            <w:pPr>
              <w:bidi w:val="0"/>
              <w:rPr>
                <w:rFonts w:hint="eastAsia"/>
              </w:rPr>
            </w:pPr>
            <w:r>
              <w:rPr>
                <w:rFonts w:hint="eastAsia"/>
              </w:rPr>
              <w:t>2.定期进行电气线路检查，发现问题及时解决；</w:t>
            </w:r>
          </w:p>
          <w:p>
            <w:pPr>
              <w:bidi w:val="0"/>
              <w:rPr>
                <w:rFonts w:hint="eastAsia"/>
              </w:rPr>
            </w:pPr>
            <w:r>
              <w:rPr>
                <w:rFonts w:hint="eastAsia"/>
              </w:rPr>
              <w:t>3.定期对油料存储情况进行检查，确保油料无泄漏，远离火源</w:t>
            </w:r>
          </w:p>
          <w:p>
            <w:pPr>
              <w:bidi w:val="0"/>
              <w:rPr>
                <w:rFonts w:hint="eastAsia"/>
              </w:rPr>
            </w:pPr>
            <w:r>
              <w:rPr>
                <w:rFonts w:hint="eastAsia"/>
              </w:rPr>
              <w:t>4.组织消防事故应急救援演练、评价；</w:t>
            </w:r>
          </w:p>
          <w:p>
            <w:pPr>
              <w:bidi w:val="0"/>
              <w:rPr>
                <w:rFonts w:hint="eastAsia"/>
              </w:rPr>
            </w:pPr>
            <w:r>
              <w:rPr>
                <w:rFonts w:hint="eastAsia"/>
              </w:rPr>
              <w:t>5.定期充装维护消防器材，确保完好。"</w:t>
            </w:r>
          </w:p>
          <w:p>
            <w:pPr>
              <w:bidi w:val="0"/>
              <w:rPr>
                <w:rFonts w:hint="eastAsia"/>
              </w:rPr>
            </w:pPr>
            <w:r>
              <w:rPr>
                <w:rFonts w:hint="eastAsia"/>
                <w:lang w:val="en-US" w:eastAsia="zh-CN"/>
              </w:rPr>
              <w:t>资金：</w:t>
            </w:r>
            <w:r>
              <w:rPr>
                <w:rFonts w:hint="eastAsia"/>
              </w:rPr>
              <w:t>8000</w:t>
            </w:r>
            <w:r>
              <w:rPr>
                <w:rFonts w:hint="eastAsia"/>
              </w:rPr>
              <w:tab/>
            </w:r>
            <w:r>
              <w:rPr>
                <w:rFonts w:hint="eastAsia"/>
                <w:lang w:val="en-US" w:eastAsia="zh-CN"/>
              </w:rPr>
              <w:t>进度</w:t>
            </w:r>
            <w:r>
              <w:rPr>
                <w:rFonts w:hint="eastAsia"/>
              </w:rPr>
              <w:t>2020.4-12</w:t>
            </w:r>
            <w:r>
              <w:rPr>
                <w:rFonts w:hint="eastAsia"/>
              </w:rPr>
              <w:tab/>
            </w:r>
            <w:r>
              <w:rPr>
                <w:rFonts w:hint="eastAsia"/>
                <w:lang w:val="en-US" w:eastAsia="zh-CN"/>
              </w:rPr>
              <w:t>责任部门：</w:t>
            </w:r>
            <w:r>
              <w:rPr>
                <w:rFonts w:hint="eastAsia"/>
              </w:rPr>
              <w:t>各部门</w:t>
            </w:r>
          </w:p>
          <w:p>
            <w:pPr>
              <w:bidi w:val="0"/>
              <w:rPr>
                <w:rFonts w:hint="eastAsia" w:eastAsia="宋体"/>
                <w:lang w:val="en-US" w:eastAsia="zh-CN"/>
              </w:rPr>
            </w:pPr>
            <w:r>
              <w:rPr>
                <w:rFonts w:hint="default" w:ascii="Times New Roman" w:hAnsi="Times New Roman" w:cs="Times New Roman"/>
                <w:sz w:val="21"/>
                <w:szCs w:val="21"/>
                <w:highlight w:val="none"/>
              </w:rPr>
              <w:t>基本符合标准要求、可行。</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宋体" w:hAnsi="宋体"/>
                <w:szCs w:val="21"/>
              </w:rPr>
            </w:pPr>
            <w:r>
              <w:rPr>
                <w:rFonts w:hint="eastAsia" w:ascii="宋体" w:hAnsi="宋体"/>
                <w:szCs w:val="21"/>
              </w:rPr>
              <w:t>应急准备和响应</w:t>
            </w:r>
          </w:p>
        </w:tc>
        <w:tc>
          <w:tcPr>
            <w:tcW w:w="869" w:type="dxa"/>
          </w:tcPr>
          <w:p>
            <w:pPr>
              <w:spacing w:line="288" w:lineRule="auto"/>
              <w:ind w:right="100"/>
              <w:rPr>
                <w:rFonts w:ascii="宋体" w:hAnsi="宋体"/>
                <w:szCs w:val="21"/>
              </w:rPr>
            </w:pPr>
            <w:r>
              <w:rPr>
                <w:rFonts w:hint="eastAsia" w:ascii="宋体" w:hAnsi="宋体"/>
                <w:szCs w:val="21"/>
                <w:lang w:val="en-US" w:eastAsia="zh-CN"/>
              </w:rPr>
              <w:t>E</w:t>
            </w:r>
            <w:r>
              <w:rPr>
                <w:rFonts w:hint="eastAsia" w:ascii="宋体" w:hAnsi="宋体"/>
                <w:szCs w:val="21"/>
              </w:rPr>
              <w:t>O8.2</w:t>
            </w:r>
          </w:p>
        </w:tc>
        <w:tc>
          <w:tcPr>
            <w:tcW w:w="11490" w:type="dxa"/>
          </w:tcPr>
          <w:p>
            <w:pPr>
              <w:spacing w:line="288" w:lineRule="auto"/>
              <w:ind w:right="100"/>
              <w:rPr>
                <w:rFonts w:ascii="宋体" w:hAnsi="宋体"/>
                <w:szCs w:val="21"/>
              </w:rPr>
            </w:pPr>
            <w:r>
              <w:rPr>
                <w:rFonts w:hint="eastAsia" w:ascii="宋体" w:hAnsi="宋体"/>
                <w:szCs w:val="21"/>
              </w:rPr>
              <w:t>公司制定有《应急准备和相应控制程序》，包含应急准备和响应的范围，应急准备和响应原则，应急预案程序规定操作，纠正与完善，检查和教育，程序修订等作业程序，提供有火灾应急演练记录、触电应急救援演练记录、机械伤害事故应急演练记录等。</w:t>
            </w:r>
          </w:p>
        </w:tc>
        <w:tc>
          <w:tcPr>
            <w:tcW w:w="709" w:type="dxa"/>
          </w:tcPr>
          <w:p>
            <w:pPr>
              <w:rPr>
                <w:szCs w:val="21"/>
              </w:rPr>
            </w:pPr>
          </w:p>
        </w:tc>
      </w:tr>
    </w:tbl>
    <w:p>
      <w:pPr>
        <w:rPr>
          <w:rFonts w:ascii="楷体" w:hAnsi="楷体" w:eastAsia="楷体"/>
          <w:szCs w:val="21"/>
        </w:rPr>
      </w:pPr>
    </w:p>
    <w:p>
      <w:pPr>
        <w:pStyle w:val="2"/>
        <w:rPr>
          <w:rFonts w:ascii="楷体" w:hAnsi="楷体" w:eastAsia="楷体"/>
          <w:szCs w:val="21"/>
        </w:rPr>
      </w:pPr>
    </w:p>
    <w:p>
      <w:pPr>
        <w:pStyle w:val="2"/>
        <w:rPr>
          <w:rFonts w:ascii="楷体" w:hAnsi="楷体" w:eastAsia="楷体"/>
          <w:szCs w:val="21"/>
        </w:rPr>
      </w:pPr>
    </w:p>
    <w:p>
      <w:pPr>
        <w:pStyle w:val="2"/>
        <w:rPr>
          <w:rFonts w:ascii="楷体" w:hAnsi="楷体" w:eastAsia="楷体"/>
          <w:szCs w:val="21"/>
        </w:rPr>
      </w:pPr>
    </w:p>
    <w:p>
      <w:pPr>
        <w:pStyle w:val="2"/>
        <w:rPr>
          <w:rFonts w:ascii="楷体" w:hAnsi="楷体" w:eastAsia="楷体"/>
          <w:szCs w:val="21"/>
        </w:rPr>
      </w:pPr>
    </w:p>
    <w:p>
      <w:pPr>
        <w:pStyle w:val="2"/>
        <w:rPr>
          <w:rFonts w:ascii="楷体" w:hAnsi="楷体" w:eastAsia="楷体"/>
          <w:szCs w:val="21"/>
        </w:rPr>
      </w:pPr>
    </w:p>
    <w:p>
      <w:pPr>
        <w:pStyle w:val="2"/>
        <w:rPr>
          <w:rFonts w:ascii="楷体" w:hAnsi="楷体" w:eastAsia="楷体"/>
          <w:szCs w:val="21"/>
        </w:rPr>
      </w:pPr>
    </w:p>
    <w:tbl>
      <w:tblPr>
        <w:tblStyle w:val="9"/>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69" w:type="dxa"/>
            <w:vMerge w:val="restart"/>
            <w:vAlign w:val="center"/>
          </w:tcPr>
          <w:p>
            <w:pPr>
              <w:rPr>
                <w:szCs w:val="21"/>
              </w:rPr>
            </w:pPr>
            <w:r>
              <w:rPr>
                <w:szCs w:val="21"/>
              </w:rPr>
              <w:t>涉及</w:t>
            </w:r>
          </w:p>
          <w:p>
            <w:pPr>
              <w:rPr>
                <w:szCs w:val="21"/>
              </w:rPr>
            </w:pPr>
            <w:r>
              <w:rPr>
                <w:szCs w:val="21"/>
              </w:rPr>
              <w:t>条款</w:t>
            </w:r>
          </w:p>
        </w:tc>
        <w:tc>
          <w:tcPr>
            <w:tcW w:w="11490" w:type="dxa"/>
            <w:vAlign w:val="center"/>
          </w:tcPr>
          <w:p>
            <w:pPr>
              <w:rPr>
                <w:szCs w:val="21"/>
              </w:rPr>
            </w:pPr>
            <w:r>
              <w:rPr>
                <w:szCs w:val="21"/>
              </w:rPr>
              <w:t>受审核部门：</w:t>
            </w:r>
            <w:r>
              <w:rPr>
                <w:rFonts w:hint="eastAsia"/>
                <w:szCs w:val="21"/>
              </w:rPr>
              <w:t>生产技术部/供销部</w:t>
            </w:r>
            <w:r>
              <w:rPr>
                <w:szCs w:val="21"/>
              </w:rPr>
              <w:t xml:space="preserve">         主管领导： </w:t>
            </w:r>
            <w:r>
              <w:rPr>
                <w:rFonts w:hint="eastAsia"/>
                <w:szCs w:val="21"/>
              </w:rPr>
              <w:t>马兵辉、杨艳玲</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szCs w:val="21"/>
              </w:rPr>
            </w:pPr>
            <w:r>
              <w:rPr>
                <w:szCs w:val="21"/>
              </w:rPr>
              <w:t xml:space="preserve">审核员： </w:t>
            </w:r>
            <w:r>
              <w:rPr>
                <w:rFonts w:hint="eastAsia"/>
                <w:szCs w:val="21"/>
                <w:lang w:val="en-US" w:eastAsia="zh-CN"/>
              </w:rPr>
              <w:t>吉洁</w:t>
            </w:r>
            <w:r>
              <w:rPr>
                <w:szCs w:val="21"/>
              </w:rPr>
              <w:t xml:space="preserve">            审核时间：</w:t>
            </w:r>
            <w:r>
              <w:rPr>
                <w:rFonts w:hint="eastAsia"/>
                <w:szCs w:val="21"/>
              </w:rPr>
              <w:t>2020.11.17</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szCs w:val="21"/>
              </w:rPr>
              <w:t>审核条款：</w:t>
            </w:r>
            <w:r>
              <w:rPr>
                <w:rFonts w:hint="eastAsia"/>
                <w:szCs w:val="21"/>
              </w:rPr>
              <w:t xml:space="preserve"> Q7.1.3/7.1.4/7.1.5/8.1/8.5.1；EO6.1.2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22" w:type="dxa"/>
          </w:tcPr>
          <w:p>
            <w:pPr>
              <w:spacing w:line="288" w:lineRule="auto"/>
              <w:rPr>
                <w:rFonts w:ascii="宋体" w:hAnsi="宋体"/>
                <w:szCs w:val="21"/>
              </w:rPr>
            </w:pPr>
            <w:r>
              <w:rPr>
                <w:rFonts w:hint="eastAsia" w:ascii="宋体" w:hAnsi="宋体"/>
                <w:szCs w:val="21"/>
              </w:rPr>
              <w:t>基础设施</w:t>
            </w:r>
          </w:p>
          <w:p>
            <w:pPr>
              <w:spacing w:line="288" w:lineRule="auto"/>
              <w:rPr>
                <w:rFonts w:ascii="宋体" w:hAnsi="宋体"/>
                <w:szCs w:val="21"/>
              </w:rPr>
            </w:pPr>
            <w:r>
              <w:rPr>
                <w:rFonts w:hint="eastAsia" w:ascii="宋体" w:hAnsi="宋体"/>
                <w:szCs w:val="21"/>
              </w:rPr>
              <w:t>工作环境</w:t>
            </w:r>
          </w:p>
          <w:p>
            <w:pPr>
              <w:spacing w:line="288" w:lineRule="auto"/>
              <w:rPr>
                <w:rFonts w:ascii="宋体" w:hAnsi="宋体"/>
                <w:szCs w:val="21"/>
              </w:rPr>
            </w:pPr>
            <w:r>
              <w:rPr>
                <w:rFonts w:hint="eastAsia" w:ascii="宋体" w:hAnsi="宋体"/>
                <w:szCs w:val="21"/>
              </w:rPr>
              <w:t>监视设备</w:t>
            </w:r>
          </w:p>
        </w:tc>
        <w:tc>
          <w:tcPr>
            <w:tcW w:w="869" w:type="dxa"/>
          </w:tcPr>
          <w:p>
            <w:pPr>
              <w:spacing w:line="288" w:lineRule="auto"/>
              <w:rPr>
                <w:rFonts w:ascii="宋体" w:hAnsi="宋体"/>
                <w:szCs w:val="21"/>
              </w:rPr>
            </w:pPr>
            <w:r>
              <w:rPr>
                <w:rFonts w:hint="eastAsia" w:ascii="宋体" w:hAnsi="宋体"/>
                <w:szCs w:val="21"/>
              </w:rPr>
              <w:t>Q</w:t>
            </w:r>
          </w:p>
          <w:p>
            <w:pPr>
              <w:spacing w:line="288" w:lineRule="auto"/>
              <w:rPr>
                <w:rFonts w:ascii="宋体" w:hAnsi="宋体"/>
                <w:szCs w:val="21"/>
              </w:rPr>
            </w:pPr>
            <w:r>
              <w:rPr>
                <w:rFonts w:hint="eastAsia" w:ascii="宋体" w:hAnsi="宋体"/>
                <w:szCs w:val="21"/>
              </w:rPr>
              <w:t>7.1.3</w:t>
            </w:r>
          </w:p>
          <w:p>
            <w:pPr>
              <w:spacing w:line="288" w:lineRule="auto"/>
              <w:rPr>
                <w:rFonts w:ascii="宋体" w:hAnsi="宋体"/>
                <w:szCs w:val="21"/>
              </w:rPr>
            </w:pPr>
            <w:r>
              <w:rPr>
                <w:rFonts w:hint="eastAsia" w:ascii="宋体" w:hAnsi="宋体"/>
                <w:szCs w:val="21"/>
              </w:rPr>
              <w:t>7.1.4</w:t>
            </w:r>
          </w:p>
          <w:p>
            <w:pPr>
              <w:spacing w:line="288" w:lineRule="auto"/>
              <w:rPr>
                <w:rFonts w:ascii="宋体" w:hAnsi="宋体"/>
                <w:szCs w:val="21"/>
              </w:rPr>
            </w:pPr>
            <w:r>
              <w:rPr>
                <w:rFonts w:hint="eastAsia" w:ascii="宋体" w:hAnsi="宋体"/>
                <w:szCs w:val="21"/>
              </w:rPr>
              <w:t>7.1.5</w:t>
            </w:r>
          </w:p>
        </w:tc>
        <w:tc>
          <w:tcPr>
            <w:tcW w:w="11490" w:type="dxa"/>
          </w:tcPr>
          <w:p>
            <w:pPr>
              <w:spacing w:line="288" w:lineRule="auto"/>
              <w:rPr>
                <w:rFonts w:ascii="宋体" w:hAnsi="宋体"/>
                <w:szCs w:val="21"/>
              </w:rPr>
            </w:pPr>
            <w:r>
              <w:rPr>
                <w:rFonts w:hint="eastAsia" w:ascii="宋体" w:hAnsi="宋体"/>
                <w:szCs w:val="21"/>
              </w:rPr>
              <w:t>配备有办公室、生产车间、库房等基础设施，主要设备：开式可倾压力机、80吨开式双柱可倾压力机、</w:t>
            </w:r>
            <w:r>
              <w:rPr>
                <w:rFonts w:hint="eastAsia" w:ascii="宋体" w:hAnsi="宋体"/>
                <w:szCs w:val="21"/>
                <w:lang w:val="en-US" w:eastAsia="zh-CN"/>
              </w:rPr>
              <w:t>电焊机</w:t>
            </w:r>
            <w:r>
              <w:rPr>
                <w:rFonts w:hint="eastAsia" w:ascii="宋体" w:hAnsi="宋体"/>
                <w:szCs w:val="21"/>
              </w:rPr>
              <w:t>、深喉口实压力机等，满足生产需求。</w:t>
            </w:r>
          </w:p>
          <w:p>
            <w:pPr>
              <w:spacing w:line="288" w:lineRule="auto"/>
              <w:rPr>
                <w:rFonts w:ascii="宋体" w:hAnsi="宋体"/>
                <w:szCs w:val="21"/>
              </w:rPr>
            </w:pPr>
            <w:r>
              <w:rPr>
                <w:rFonts w:hint="eastAsia" w:ascii="宋体" w:hAnsi="宋体"/>
                <w:szCs w:val="21"/>
              </w:rPr>
              <w:t>生产车间面积500平方米，工序布局合理，场所卫生干净整洁，配有通风设施，工作环境良好。</w:t>
            </w:r>
          </w:p>
          <w:p>
            <w:pPr>
              <w:spacing w:line="288" w:lineRule="auto"/>
              <w:ind w:right="100"/>
              <w:rPr>
                <w:rFonts w:ascii="宋体" w:hAnsi="宋体"/>
                <w:szCs w:val="21"/>
              </w:rPr>
            </w:pPr>
            <w:r>
              <w:rPr>
                <w:rFonts w:hint="eastAsia" w:ascii="宋体" w:hAnsi="宋体"/>
                <w:szCs w:val="21"/>
              </w:rPr>
              <w:t>监视测量设备：</w:t>
            </w:r>
            <w:r>
              <w:rPr>
                <w:rFonts w:hint="eastAsia"/>
                <w:sz w:val="21"/>
                <w:szCs w:val="21"/>
                <w:lang w:val="en-US" w:eastAsia="zh-CN"/>
              </w:rPr>
              <w:t>三元素分析仪、涂层测厚仪、万能试验机、游标卡尺、钢卷尺</w:t>
            </w:r>
            <w:bookmarkStart w:id="0" w:name="_GoBack"/>
            <w:bookmarkEnd w:id="0"/>
            <w:r>
              <w:rPr>
                <w:rFonts w:hint="eastAsia" w:ascii="宋体" w:hAnsi="宋体"/>
                <w:szCs w:val="21"/>
              </w:rPr>
              <w:t>等。</w:t>
            </w:r>
          </w:p>
        </w:tc>
        <w:tc>
          <w:tcPr>
            <w:tcW w:w="709" w:type="dxa"/>
          </w:tcPr>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rPr>
                <w:rFonts w:ascii="宋体" w:hAnsi="宋体"/>
                <w:szCs w:val="21"/>
              </w:rPr>
            </w:pPr>
            <w:r>
              <w:rPr>
                <w:rFonts w:hint="eastAsia" w:ascii="宋体" w:hAnsi="宋体"/>
                <w:szCs w:val="21"/>
              </w:rPr>
              <w:t>产品和服务的运行策划和控制</w:t>
            </w:r>
          </w:p>
          <w:p>
            <w:pPr>
              <w:spacing w:line="288" w:lineRule="auto"/>
              <w:rPr>
                <w:rFonts w:ascii="宋体" w:hAnsi="宋体"/>
                <w:szCs w:val="21"/>
              </w:rPr>
            </w:pPr>
            <w:r>
              <w:rPr>
                <w:rFonts w:hint="eastAsia" w:ascii="宋体" w:hAnsi="宋体"/>
                <w:szCs w:val="21"/>
              </w:rPr>
              <w:t>需确认过程</w:t>
            </w:r>
          </w:p>
        </w:tc>
        <w:tc>
          <w:tcPr>
            <w:tcW w:w="869" w:type="dxa"/>
          </w:tcPr>
          <w:p>
            <w:pPr>
              <w:spacing w:line="288" w:lineRule="auto"/>
              <w:rPr>
                <w:rFonts w:ascii="宋体" w:hAnsi="宋体"/>
                <w:szCs w:val="21"/>
              </w:rPr>
            </w:pPr>
            <w:r>
              <w:rPr>
                <w:rFonts w:hint="eastAsia" w:ascii="宋体" w:hAnsi="宋体"/>
                <w:szCs w:val="21"/>
              </w:rPr>
              <w:t>Q</w:t>
            </w:r>
          </w:p>
          <w:p>
            <w:pPr>
              <w:spacing w:line="288" w:lineRule="auto"/>
              <w:rPr>
                <w:rFonts w:ascii="宋体" w:hAnsi="宋体"/>
                <w:szCs w:val="21"/>
              </w:rPr>
            </w:pPr>
            <w:r>
              <w:rPr>
                <w:rFonts w:hint="eastAsia" w:ascii="宋体" w:hAnsi="宋体"/>
                <w:szCs w:val="21"/>
              </w:rPr>
              <w:t>8.1</w:t>
            </w:r>
          </w:p>
          <w:p>
            <w:pPr>
              <w:spacing w:line="288" w:lineRule="auto"/>
              <w:rPr>
                <w:rFonts w:ascii="宋体" w:hAnsi="宋体"/>
                <w:szCs w:val="21"/>
              </w:rPr>
            </w:pPr>
            <w:r>
              <w:rPr>
                <w:rFonts w:hint="eastAsia" w:ascii="宋体" w:hAnsi="宋体"/>
                <w:szCs w:val="21"/>
              </w:rPr>
              <w:t>8.5.1</w:t>
            </w:r>
          </w:p>
        </w:tc>
        <w:tc>
          <w:tcPr>
            <w:tcW w:w="11490" w:type="dxa"/>
          </w:tcPr>
          <w:p>
            <w:pPr>
              <w:spacing w:line="288" w:lineRule="auto"/>
            </w:pPr>
            <w:r>
              <w:rPr>
                <w:rFonts w:hint="eastAsia"/>
              </w:rPr>
              <w:t>建立了质量目标</w:t>
            </w:r>
          </w:p>
          <w:p>
            <w:pPr>
              <w:spacing w:line="288" w:lineRule="auto"/>
            </w:pPr>
            <w:r>
              <w:rPr>
                <w:rFonts w:hint="eastAsia"/>
              </w:rPr>
              <w:t>收集的相关法律法规、技术标准：产品质量法、安全生产法、环境保护法、消防法、及GB/T2314-2008电力金具通用技术条件、</w:t>
            </w:r>
            <w:r>
              <w:t>YD/T206.1-1997 架空通信线路铁件 通用技术条件</w:t>
            </w:r>
            <w:r>
              <w:rPr>
                <w:rFonts w:hint="eastAsia"/>
              </w:rPr>
              <w:t>、</w:t>
            </w:r>
            <w:r>
              <w:t>GB/T 2973-2004镀锌钢丝锌层质量试验方法</w:t>
            </w:r>
            <w:r>
              <w:rPr>
                <w:rFonts w:hint="eastAsia"/>
              </w:rPr>
              <w:t>等</w:t>
            </w:r>
            <w:r>
              <w:t>经常网上查阅、及时与顾客沟通确保最新版</w:t>
            </w:r>
          </w:p>
          <w:p>
            <w:pPr>
              <w:spacing w:line="288" w:lineRule="auto"/>
            </w:pPr>
            <w:r>
              <w:rPr>
                <w:rFonts w:hint="eastAsia"/>
              </w:rPr>
              <w:t>了解的产品和服务实现流程为：</w:t>
            </w:r>
          </w:p>
          <w:p>
            <w:pPr>
              <w:numPr>
                <w:ilvl w:val="0"/>
                <w:numId w:val="1"/>
              </w:numPr>
              <w:spacing w:line="288" w:lineRule="auto"/>
              <w:jc w:val="left"/>
            </w:pPr>
            <w:r>
              <w:rPr>
                <w:rFonts w:hint="eastAsia"/>
              </w:rPr>
              <w:t>电力金具工艺流程图：</w:t>
            </w:r>
          </w:p>
          <w:p>
            <w:pPr>
              <w:spacing w:line="288" w:lineRule="auto"/>
              <w:ind w:left="360"/>
            </w:pPr>
            <w:r>
              <w:rPr>
                <w:rFonts w:hint="eastAsia"/>
              </w:rPr>
              <w:t>下料→成型→镀锌★→装配→检验→包装入库</w:t>
            </w:r>
          </w:p>
          <w:p>
            <w:pPr>
              <w:numPr>
                <w:ilvl w:val="0"/>
                <w:numId w:val="1"/>
              </w:numPr>
              <w:spacing w:line="288" w:lineRule="auto"/>
              <w:jc w:val="left"/>
            </w:pPr>
            <w:r>
              <w:rPr>
                <w:rFonts w:hint="eastAsia"/>
              </w:rPr>
              <w:t>铁附件工艺流程：</w:t>
            </w:r>
          </w:p>
          <w:p>
            <w:pPr>
              <w:spacing w:line="288" w:lineRule="auto"/>
              <w:ind w:left="360"/>
            </w:pPr>
            <w:r>
              <w:rPr>
                <w:rFonts w:hint="eastAsia"/>
              </w:rPr>
              <w:t>原材料切割→冲压钻孔→组装（焊接★）→镀锌★→包装入库</w:t>
            </w:r>
          </w:p>
          <w:p>
            <w:pPr>
              <w:numPr>
                <w:ilvl w:val="0"/>
                <w:numId w:val="1"/>
              </w:numPr>
              <w:spacing w:line="288" w:lineRule="auto"/>
            </w:pPr>
            <w:r>
              <w:rPr>
                <w:rFonts w:hint="eastAsia"/>
              </w:rPr>
              <w:t>销售服务工艺流程</w:t>
            </w:r>
          </w:p>
          <w:p>
            <w:pPr>
              <w:spacing w:line="288" w:lineRule="auto"/>
            </w:pPr>
            <w:r>
              <w:rPr>
                <w:rFonts w:hint="eastAsia"/>
              </w:rPr>
              <w:t xml:space="preserve">   寻找意向客户→洽谈→签订销售合同→实施相关产品的采购→进厂验收→交付顾客验收→结款→顾客反馈</w:t>
            </w:r>
          </w:p>
          <w:p>
            <w:pPr>
              <w:autoSpaceDE w:val="0"/>
              <w:autoSpaceDN w:val="0"/>
              <w:spacing w:line="288" w:lineRule="auto"/>
              <w:jc w:val="left"/>
              <w:rPr>
                <w:rFonts w:hint="default" w:eastAsia="宋体"/>
                <w:lang w:val="en-US" w:eastAsia="zh-CN"/>
              </w:rPr>
            </w:pPr>
            <w:r>
              <w:rPr>
                <w:rFonts w:hint="eastAsia"/>
                <w:lang w:val="en-US" w:eastAsia="zh-CN"/>
              </w:rPr>
              <w:t>需确认过程：</w:t>
            </w:r>
            <w:r>
              <w:rPr>
                <w:rFonts w:hint="eastAsia"/>
              </w:rPr>
              <w:t>焊接</w:t>
            </w:r>
            <w:r>
              <w:rPr>
                <w:rFonts w:hint="eastAsia"/>
                <w:lang w:eastAsia="zh-CN"/>
              </w:rPr>
              <w:t>、</w:t>
            </w:r>
            <w:r>
              <w:rPr>
                <w:rFonts w:hint="eastAsia"/>
                <w:lang w:val="en-US" w:eastAsia="zh-CN"/>
              </w:rPr>
              <w:t>销售服务</w:t>
            </w:r>
          </w:p>
          <w:p>
            <w:pPr>
              <w:bidi w:val="0"/>
              <w:rPr>
                <w:rFonts w:hint="default" w:eastAsia="宋体"/>
                <w:lang w:val="en-US" w:eastAsia="zh-CN"/>
              </w:rPr>
            </w:pPr>
            <w:r>
              <w:rPr>
                <w:rFonts w:hint="eastAsia"/>
                <w:lang w:val="en-US" w:eastAsia="zh-CN"/>
              </w:rPr>
              <w:t>外包过程：镀锌</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rPr>
                <w:rFonts w:ascii="宋体" w:hAnsi="宋体"/>
                <w:szCs w:val="21"/>
              </w:rPr>
            </w:pPr>
            <w:r>
              <w:rPr>
                <w:rFonts w:hint="eastAsia" w:ascii="宋体" w:hAnsi="宋体"/>
                <w:szCs w:val="21"/>
              </w:rPr>
              <w:t>环境因素识别评价程序的充分性、适宜性</w:t>
            </w:r>
          </w:p>
        </w:tc>
        <w:tc>
          <w:tcPr>
            <w:tcW w:w="869" w:type="dxa"/>
          </w:tcPr>
          <w:p>
            <w:pPr>
              <w:spacing w:line="288" w:lineRule="auto"/>
              <w:rPr>
                <w:rFonts w:hint="eastAsia" w:ascii="宋体" w:hAnsi="宋体"/>
                <w:szCs w:val="21"/>
              </w:rPr>
            </w:pPr>
            <w:r>
              <w:rPr>
                <w:rFonts w:hint="eastAsia" w:ascii="宋体" w:hAnsi="宋体"/>
                <w:szCs w:val="21"/>
              </w:rPr>
              <w:t>EO</w:t>
            </w:r>
          </w:p>
          <w:p>
            <w:pPr>
              <w:spacing w:line="288" w:lineRule="auto"/>
              <w:rPr>
                <w:rFonts w:ascii="宋体" w:hAnsi="宋体"/>
                <w:szCs w:val="21"/>
              </w:rPr>
            </w:pPr>
            <w:r>
              <w:rPr>
                <w:rFonts w:hint="eastAsia" w:ascii="宋体" w:hAnsi="宋体"/>
                <w:szCs w:val="21"/>
              </w:rPr>
              <w:t>6.1.2</w:t>
            </w:r>
          </w:p>
        </w:tc>
        <w:tc>
          <w:tcPr>
            <w:tcW w:w="11490" w:type="dxa"/>
          </w:tcPr>
          <w:p>
            <w:pPr>
              <w:spacing w:line="288" w:lineRule="auto"/>
              <w:rPr>
                <w:rFonts w:ascii="宋体" w:hAnsi="宋体"/>
                <w:szCs w:val="21"/>
              </w:rPr>
            </w:pPr>
            <w:r>
              <w:rPr>
                <w:rFonts w:ascii="宋体" w:hAnsi="宋体"/>
                <w:szCs w:val="21"/>
              </w:rPr>
              <w:t>策划、编制了《环境因素</w:t>
            </w:r>
            <w:r>
              <w:rPr>
                <w:rFonts w:hint="eastAsia" w:ascii="宋体" w:hAnsi="宋体"/>
                <w:szCs w:val="21"/>
              </w:rPr>
              <w:t>和危险源</w:t>
            </w:r>
            <w:r>
              <w:rPr>
                <w:rFonts w:ascii="宋体" w:hAnsi="宋体"/>
                <w:szCs w:val="21"/>
              </w:rPr>
              <w:t>识别评价</w:t>
            </w:r>
            <w:r>
              <w:rPr>
                <w:rFonts w:hint="eastAsia" w:ascii="宋体" w:hAnsi="宋体"/>
                <w:szCs w:val="21"/>
              </w:rPr>
              <w:t>与</w:t>
            </w:r>
            <w:r>
              <w:rPr>
                <w:rFonts w:ascii="宋体" w:hAnsi="宋体"/>
                <w:szCs w:val="21"/>
              </w:rPr>
              <w:t>控制程序</w:t>
            </w:r>
            <w:r>
              <w:rPr>
                <w:rFonts w:hint="eastAsia" w:ascii="宋体" w:hAnsi="宋体"/>
                <w:szCs w:val="21"/>
              </w:rPr>
              <w:t>》</w:t>
            </w:r>
          </w:p>
          <w:p>
            <w:pPr>
              <w:spacing w:line="288" w:lineRule="auto"/>
              <w:rPr>
                <w:rFonts w:ascii="宋体" w:hAnsi="宋体"/>
                <w:szCs w:val="21"/>
              </w:rPr>
            </w:pPr>
            <w:r>
              <w:rPr>
                <w:rFonts w:hint="eastAsia" w:ascii="宋体" w:hAnsi="宋体"/>
                <w:szCs w:val="21"/>
              </w:rPr>
              <w:t>提供了《环境因素识别排查表》，</w:t>
            </w:r>
            <w:r>
              <w:rPr>
                <w:rFonts w:ascii="宋体" w:hAnsi="宋体"/>
                <w:szCs w:val="21"/>
              </w:rPr>
              <w:t>其中包括办公区、生产区等，</w:t>
            </w:r>
            <w:r>
              <w:rPr>
                <w:rFonts w:hint="eastAsia" w:ascii="宋体" w:hAnsi="宋体"/>
                <w:szCs w:val="21"/>
              </w:rPr>
              <w:t>识别的环境因素有：生活污水的排放、生活垃圾的排放、废粉的排放、废墨盒、硒鼓色带废弃、废旧电池的产生、辐射、废旧电池的产生、资源的利用、尾气的排放等，提供了《重要环境因素清单》，重要环境因素有：固体废弃物排放、潜在火灾、</w:t>
            </w:r>
            <w:r>
              <w:rPr>
                <w:rFonts w:hint="eastAsia" w:ascii="宋体" w:hAnsi="宋体"/>
                <w:szCs w:val="21"/>
                <w:lang w:val="en-US" w:eastAsia="zh-CN"/>
              </w:rPr>
              <w:t>废气的排放</w:t>
            </w:r>
            <w:r>
              <w:rPr>
                <w:rFonts w:hint="eastAsia" w:ascii="宋体" w:hAnsi="宋体"/>
                <w:szCs w:val="21"/>
              </w:rPr>
              <w:t>、噪声排放。</w:t>
            </w:r>
          </w:p>
          <w:p>
            <w:pPr>
              <w:spacing w:line="288" w:lineRule="auto"/>
              <w:rPr>
                <w:rFonts w:ascii="宋体" w:hAnsi="宋体"/>
                <w:szCs w:val="21"/>
              </w:rPr>
            </w:pPr>
            <w:r>
              <w:rPr>
                <w:rFonts w:hint="eastAsia" w:ascii="宋体" w:hAnsi="宋体"/>
                <w:szCs w:val="21"/>
              </w:rPr>
              <w:t>提供了《危险源调查表》，危险源有：火灾、人体健康伤害、设备漏电、原料掉落、防护不当、设备运行、产品表面毛刺等，查看《重大危险源清单》，重大危险源为：</w:t>
            </w:r>
            <w:r>
              <w:rPr>
                <w:rFonts w:hint="eastAsia" w:ascii="宋体" w:hAnsi="宋体"/>
                <w:szCs w:val="21"/>
                <w:lang w:val="en-US" w:eastAsia="zh-CN"/>
              </w:rPr>
              <w:t>火灾、意外伤害</w:t>
            </w:r>
            <w:r>
              <w:rPr>
                <w:rFonts w:hint="eastAsia" w:ascii="宋体" w:hAnsi="宋体"/>
                <w:szCs w:val="21"/>
              </w:rPr>
              <w:t>、机械伤害、噪声</w:t>
            </w:r>
            <w:r>
              <w:rPr>
                <w:rFonts w:hint="eastAsia" w:ascii="宋体" w:hAnsi="宋体"/>
                <w:szCs w:val="21"/>
                <w:lang w:val="en-US" w:eastAsia="zh-CN"/>
              </w:rPr>
              <w:t>伤害</w:t>
            </w:r>
            <w:r>
              <w:rPr>
                <w:rFonts w:hint="eastAsia" w:ascii="宋体" w:hAnsi="宋体"/>
                <w:szCs w:val="21"/>
              </w:rPr>
              <w:t>、触电等。</w:t>
            </w:r>
          </w:p>
        </w:tc>
        <w:tc>
          <w:tcPr>
            <w:tcW w:w="709" w:type="dxa"/>
          </w:tcPr>
          <w:p>
            <w:pPr>
              <w:rPr>
                <w:szCs w:val="21"/>
              </w:rPr>
            </w:pPr>
          </w:p>
        </w:tc>
      </w:tr>
    </w:tbl>
    <w:p>
      <w:pPr>
        <w:pStyle w:val="7"/>
        <w:rPr>
          <w:rFonts w:ascii="楷体" w:hAnsi="楷体" w:eastAsia="楷体"/>
          <w:sz w:val="21"/>
          <w:szCs w:val="21"/>
        </w:rPr>
      </w:pPr>
      <w:r>
        <w:rPr>
          <w:rFonts w:hint="eastAsia" w:ascii="楷体" w:hAnsi="楷体" w:eastAsia="楷体"/>
          <w:sz w:val="21"/>
          <w:szCs w:val="21"/>
        </w:rPr>
        <w:t>说明：不符合标注N</w:t>
      </w:r>
    </w:p>
    <w:p>
      <w:pPr>
        <w:pStyle w:val="7"/>
        <w:rPr>
          <w:rFonts w:ascii="楷体" w:hAnsi="楷体" w:eastAsia="楷体"/>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20" w:firstLineChars="400"/>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955DF"/>
    <w:multiLevelType w:val="multilevel"/>
    <w:tmpl w:val="754955DF"/>
    <w:lvl w:ilvl="0" w:tentative="0">
      <w:start w:val="1"/>
      <w:numFmt w:val="decimal"/>
      <w:lvlText w:val="%1."/>
      <w:lvlJc w:val="left"/>
      <w:pPr>
        <w:ind w:left="360" w:hanging="360"/>
      </w:pPr>
      <w:rPr>
        <w:rFonts w:hint="default" w:eastAsia="P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3F53"/>
    <w:rsid w:val="000102DE"/>
    <w:rsid w:val="000259D8"/>
    <w:rsid w:val="000316AD"/>
    <w:rsid w:val="0005011D"/>
    <w:rsid w:val="0005375F"/>
    <w:rsid w:val="00055009"/>
    <w:rsid w:val="00063F5A"/>
    <w:rsid w:val="00067B35"/>
    <w:rsid w:val="00081DAA"/>
    <w:rsid w:val="00096CD9"/>
    <w:rsid w:val="000A0B00"/>
    <w:rsid w:val="000C4FCC"/>
    <w:rsid w:val="000D0289"/>
    <w:rsid w:val="000D5591"/>
    <w:rsid w:val="000D6187"/>
    <w:rsid w:val="000E392E"/>
    <w:rsid w:val="000F4594"/>
    <w:rsid w:val="001131B2"/>
    <w:rsid w:val="0012740B"/>
    <w:rsid w:val="00134509"/>
    <w:rsid w:val="00145FD6"/>
    <w:rsid w:val="00183124"/>
    <w:rsid w:val="001A0448"/>
    <w:rsid w:val="001A3E19"/>
    <w:rsid w:val="001B625D"/>
    <w:rsid w:val="00242652"/>
    <w:rsid w:val="00247A1A"/>
    <w:rsid w:val="002679C2"/>
    <w:rsid w:val="00270DFB"/>
    <w:rsid w:val="00280729"/>
    <w:rsid w:val="00294ACD"/>
    <w:rsid w:val="00314638"/>
    <w:rsid w:val="003149EB"/>
    <w:rsid w:val="00323081"/>
    <w:rsid w:val="00326600"/>
    <w:rsid w:val="0033099B"/>
    <w:rsid w:val="00343C48"/>
    <w:rsid w:val="0035120E"/>
    <w:rsid w:val="00353E04"/>
    <w:rsid w:val="00354C46"/>
    <w:rsid w:val="00356D5A"/>
    <w:rsid w:val="003C7A2A"/>
    <w:rsid w:val="003D1771"/>
    <w:rsid w:val="003D7DA9"/>
    <w:rsid w:val="003E3EC1"/>
    <w:rsid w:val="00412BAA"/>
    <w:rsid w:val="00431D26"/>
    <w:rsid w:val="0045719F"/>
    <w:rsid w:val="00460C2C"/>
    <w:rsid w:val="00491A05"/>
    <w:rsid w:val="004D4E37"/>
    <w:rsid w:val="00503F53"/>
    <w:rsid w:val="005135E3"/>
    <w:rsid w:val="00522555"/>
    <w:rsid w:val="00567D8D"/>
    <w:rsid w:val="005709AF"/>
    <w:rsid w:val="0057598F"/>
    <w:rsid w:val="005877E1"/>
    <w:rsid w:val="005A248D"/>
    <w:rsid w:val="005B2E43"/>
    <w:rsid w:val="005B409D"/>
    <w:rsid w:val="005D4DE8"/>
    <w:rsid w:val="005D6F41"/>
    <w:rsid w:val="00615C1A"/>
    <w:rsid w:val="00625BE6"/>
    <w:rsid w:val="0063030E"/>
    <w:rsid w:val="00632D1A"/>
    <w:rsid w:val="006620F7"/>
    <w:rsid w:val="00671C1E"/>
    <w:rsid w:val="00675D0F"/>
    <w:rsid w:val="006763C6"/>
    <w:rsid w:val="006868D8"/>
    <w:rsid w:val="00690DCB"/>
    <w:rsid w:val="00692B55"/>
    <w:rsid w:val="00696572"/>
    <w:rsid w:val="006B5959"/>
    <w:rsid w:val="006F7A36"/>
    <w:rsid w:val="007541F1"/>
    <w:rsid w:val="00795BF0"/>
    <w:rsid w:val="007A57DD"/>
    <w:rsid w:val="007D097E"/>
    <w:rsid w:val="007D538B"/>
    <w:rsid w:val="007E0CF4"/>
    <w:rsid w:val="00837983"/>
    <w:rsid w:val="00842754"/>
    <w:rsid w:val="008521EE"/>
    <w:rsid w:val="00854203"/>
    <w:rsid w:val="00870188"/>
    <w:rsid w:val="008911C3"/>
    <w:rsid w:val="00896D74"/>
    <w:rsid w:val="008A3E69"/>
    <w:rsid w:val="008A65DA"/>
    <w:rsid w:val="008C5BAD"/>
    <w:rsid w:val="008D636C"/>
    <w:rsid w:val="008E7390"/>
    <w:rsid w:val="008F42C1"/>
    <w:rsid w:val="008F498B"/>
    <w:rsid w:val="00935F38"/>
    <w:rsid w:val="00967343"/>
    <w:rsid w:val="009812F1"/>
    <w:rsid w:val="009A6CE9"/>
    <w:rsid w:val="009B5A45"/>
    <w:rsid w:val="009B653A"/>
    <w:rsid w:val="009F78A7"/>
    <w:rsid w:val="00A22135"/>
    <w:rsid w:val="00A271E8"/>
    <w:rsid w:val="00A3119F"/>
    <w:rsid w:val="00A516A3"/>
    <w:rsid w:val="00A610E9"/>
    <w:rsid w:val="00A618EA"/>
    <w:rsid w:val="00A7140F"/>
    <w:rsid w:val="00A864CB"/>
    <w:rsid w:val="00A92156"/>
    <w:rsid w:val="00AC62C1"/>
    <w:rsid w:val="00AD6C07"/>
    <w:rsid w:val="00AD769A"/>
    <w:rsid w:val="00B01275"/>
    <w:rsid w:val="00B0234F"/>
    <w:rsid w:val="00B04449"/>
    <w:rsid w:val="00B10C1F"/>
    <w:rsid w:val="00B32220"/>
    <w:rsid w:val="00B50862"/>
    <w:rsid w:val="00B5668E"/>
    <w:rsid w:val="00B95FEE"/>
    <w:rsid w:val="00B97EB8"/>
    <w:rsid w:val="00BB12A6"/>
    <w:rsid w:val="00BC7189"/>
    <w:rsid w:val="00BC768A"/>
    <w:rsid w:val="00BE5F99"/>
    <w:rsid w:val="00BF2E0E"/>
    <w:rsid w:val="00C05282"/>
    <w:rsid w:val="00C113B3"/>
    <w:rsid w:val="00C1748F"/>
    <w:rsid w:val="00C605A8"/>
    <w:rsid w:val="00C773D3"/>
    <w:rsid w:val="00C77AB9"/>
    <w:rsid w:val="00C85143"/>
    <w:rsid w:val="00CA736C"/>
    <w:rsid w:val="00CA7E36"/>
    <w:rsid w:val="00CC6808"/>
    <w:rsid w:val="00CE6B72"/>
    <w:rsid w:val="00CE7035"/>
    <w:rsid w:val="00CF5CDC"/>
    <w:rsid w:val="00D14D7F"/>
    <w:rsid w:val="00D453FD"/>
    <w:rsid w:val="00D524FF"/>
    <w:rsid w:val="00D62600"/>
    <w:rsid w:val="00D7005D"/>
    <w:rsid w:val="00D77C79"/>
    <w:rsid w:val="00D840C9"/>
    <w:rsid w:val="00DA4423"/>
    <w:rsid w:val="00DC27A4"/>
    <w:rsid w:val="00DD120F"/>
    <w:rsid w:val="00DD48CF"/>
    <w:rsid w:val="00DD6CE4"/>
    <w:rsid w:val="00DE3864"/>
    <w:rsid w:val="00DF12D0"/>
    <w:rsid w:val="00E1657B"/>
    <w:rsid w:val="00E22AF8"/>
    <w:rsid w:val="00E22D31"/>
    <w:rsid w:val="00E25B09"/>
    <w:rsid w:val="00E3020D"/>
    <w:rsid w:val="00E37B70"/>
    <w:rsid w:val="00E41198"/>
    <w:rsid w:val="00E41A5E"/>
    <w:rsid w:val="00E42992"/>
    <w:rsid w:val="00E44C78"/>
    <w:rsid w:val="00E513C3"/>
    <w:rsid w:val="00E91179"/>
    <w:rsid w:val="00EA5E64"/>
    <w:rsid w:val="00EB00E1"/>
    <w:rsid w:val="00EC1118"/>
    <w:rsid w:val="00F0397C"/>
    <w:rsid w:val="00F0796E"/>
    <w:rsid w:val="00F24D01"/>
    <w:rsid w:val="00F30B3E"/>
    <w:rsid w:val="00F379DD"/>
    <w:rsid w:val="00F53900"/>
    <w:rsid w:val="00F55841"/>
    <w:rsid w:val="00F567BB"/>
    <w:rsid w:val="00F56D72"/>
    <w:rsid w:val="00F821A0"/>
    <w:rsid w:val="00F9307A"/>
    <w:rsid w:val="00F95887"/>
    <w:rsid w:val="00FD5709"/>
    <w:rsid w:val="00FD76F9"/>
    <w:rsid w:val="00FE5B42"/>
    <w:rsid w:val="00FF0572"/>
    <w:rsid w:val="00FF4B6B"/>
    <w:rsid w:val="059C1506"/>
    <w:rsid w:val="17A37CB0"/>
    <w:rsid w:val="19FF2BA2"/>
    <w:rsid w:val="1F9A468B"/>
    <w:rsid w:val="29B059D4"/>
    <w:rsid w:val="2A8956CB"/>
    <w:rsid w:val="2E2212BD"/>
    <w:rsid w:val="31933007"/>
    <w:rsid w:val="3A6911B7"/>
    <w:rsid w:val="40F5568C"/>
    <w:rsid w:val="4B017EDB"/>
    <w:rsid w:val="4CB91B84"/>
    <w:rsid w:val="54AE6361"/>
    <w:rsid w:val="58277BFD"/>
    <w:rsid w:val="59681662"/>
    <w:rsid w:val="59C03B05"/>
    <w:rsid w:val="63045D14"/>
    <w:rsid w:val="63261E36"/>
    <w:rsid w:val="72FE23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4">
    <w:name w:val="Body Text Indent"/>
    <w:basedOn w:val="1"/>
    <w:qFormat/>
    <w:uiPriority w:val="0"/>
    <w:pPr>
      <w:ind w:firstLine="280" w:firstLineChars="100"/>
    </w:pPr>
    <w:rPr>
      <w:sz w:val="28"/>
    </w:rPr>
  </w:style>
  <w:style w:type="paragraph" w:styleId="5">
    <w:name w:val="Plain Text"/>
    <w:basedOn w:val="1"/>
    <w:link w:val="17"/>
    <w:qFormat/>
    <w:uiPriority w:val="0"/>
    <w:pPr>
      <w:spacing w:line="360" w:lineRule="auto"/>
      <w:ind w:left="200" w:leftChars="200"/>
    </w:pPr>
    <w:rPr>
      <w:rFonts w:ascii="宋体" w:hAnsi="Courier New" w:cs="Courier New" w:eastAsiaTheme="minorEastAsia"/>
      <w:sz w:val="24"/>
      <w:szCs w:val="21"/>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 w:type="character" w:customStyle="1" w:styleId="16">
    <w:name w:val="纯文本 Char"/>
    <w:link w:val="5"/>
    <w:qFormat/>
    <w:uiPriority w:val="0"/>
    <w:rPr>
      <w:rFonts w:ascii="宋体" w:hAnsi="Courier New" w:cs="Courier New"/>
      <w:kern w:val="2"/>
      <w:sz w:val="24"/>
      <w:szCs w:val="21"/>
    </w:rPr>
  </w:style>
  <w:style w:type="character" w:customStyle="1" w:styleId="17">
    <w:name w:val="纯文本 Char1"/>
    <w:basedOn w:val="10"/>
    <w:link w:val="5"/>
    <w:semiHidden/>
    <w:qFormat/>
    <w:uiPriority w:val="99"/>
    <w:rPr>
      <w:rFonts w:ascii="宋体" w:hAnsi="Courier New" w:eastAsia="宋体" w:cs="Courier New"/>
      <w:kern w:val="2"/>
      <w:sz w:val="21"/>
      <w:szCs w:val="21"/>
    </w:rPr>
  </w:style>
  <w:style w:type="character" w:customStyle="1" w:styleId="18">
    <w:name w:val="标题 3 Char"/>
    <w:basedOn w:val="10"/>
    <w:link w:val="3"/>
    <w:qFormat/>
    <w:uiPriority w:val="0"/>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906</Words>
  <Characters>5165</Characters>
  <Lines>43</Lines>
  <Paragraphs>12</Paragraphs>
  <TotalTime>0</TotalTime>
  <ScaleCrop>false</ScaleCrop>
  <LinksUpToDate>false</LinksUpToDate>
  <CharactersWithSpaces>6059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2020-11-25T01:43:08Z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