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河北名翔通讯器材有限公司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Q：17.11.03;17.12.05;29.12.00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E：17.11.03;17.12.05;29.12.00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O：17.11.03;17.12.05;29.12.00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下料—冲压—表面处理（外包）—焊接（必要时）—装配—成品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安全生产法、GB/T2694-2010《输电线路铁塔制造技术条件》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尺寸、锌层、焊接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GB/T2694-2010《输电线路铁塔制造技术条件》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2020.11.17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2020.11.17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11F5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2020-11-17T03:34:47Z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