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sz w:val="30"/>
          <w:szCs w:val="30"/>
        </w:rPr>
        <w:t>审核组工作情况反馈表</w:t>
      </w:r>
      <w:bookmarkStart w:id="4" w:name="_GoBack"/>
      <w:bookmarkEnd w:id="4"/>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明光市众建市政工程有限公司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0556-2020-QJEO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ISC-261927</w:t>
            </w:r>
          </w:p>
          <w:p>
            <w:pPr>
              <w:snapToGrid w:val="0"/>
              <w:spacing w:line="320" w:lineRule="exact"/>
              <w:ind w:left="1309"/>
              <w:rPr>
                <w:sz w:val="22"/>
                <w:szCs w:val="22"/>
                <w:highlight w:val="none"/>
              </w:rPr>
            </w:pPr>
            <w:r>
              <w:rPr>
                <w:sz w:val="22"/>
                <w:szCs w:val="22"/>
                <w:highlight w:val="none"/>
              </w:rPr>
              <w:t>2020-N1OHSMS-1261927</w:t>
            </w:r>
          </w:p>
          <w:p>
            <w:pPr>
              <w:snapToGrid w:val="0"/>
              <w:spacing w:line="320" w:lineRule="exact"/>
              <w:ind w:left="1309"/>
              <w:rPr>
                <w:sz w:val="22"/>
                <w:szCs w:val="22"/>
                <w:highlight w:val="none"/>
              </w:rPr>
            </w:pPr>
            <w:r>
              <w:rPr>
                <w:sz w:val="22"/>
                <w:szCs w:val="22"/>
                <w:highlight w:val="none"/>
              </w:rPr>
              <w:t>连云港新达医药有限公司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王胜龙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ISC-JSZJ-191</w:t>
            </w:r>
          </w:p>
          <w:p>
            <w:pPr>
              <w:snapToGrid w:val="0"/>
              <w:spacing w:line="320" w:lineRule="exact"/>
              <w:ind w:left="1309"/>
              <w:rPr>
                <w:sz w:val="22"/>
                <w:szCs w:val="22"/>
                <w:highlight w:val="none"/>
              </w:rPr>
            </w:pPr>
            <w:r>
              <w:rPr>
                <w:sz w:val="22"/>
                <w:szCs w:val="22"/>
                <w:highlight w:val="none"/>
              </w:rPr>
              <w:t>ISC-JSZJ-191</w:t>
            </w:r>
          </w:p>
          <w:p>
            <w:pPr>
              <w:snapToGrid w:val="0"/>
              <w:spacing w:line="320" w:lineRule="exact"/>
              <w:ind w:left="1309"/>
              <w:rPr>
                <w:sz w:val="22"/>
                <w:szCs w:val="22"/>
                <w:highlight w:val="none"/>
              </w:rPr>
            </w:pPr>
            <w:r>
              <w:rPr>
                <w:sz w:val="22"/>
                <w:szCs w:val="22"/>
                <w:highlight w:val="none"/>
              </w:rPr>
              <w:t>ISC-JSZJ-191</w:t>
            </w:r>
          </w:p>
          <w:p>
            <w:pPr>
              <w:snapToGrid w:val="0"/>
              <w:spacing w:line="320" w:lineRule="exact"/>
              <w:ind w:left="1309"/>
              <w:rPr>
                <w:sz w:val="22"/>
                <w:szCs w:val="22"/>
                <w:highlight w:val="none"/>
              </w:rPr>
            </w:pPr>
            <w:r>
              <w:rPr>
                <w:sz w:val="22"/>
                <w:szCs w:val="22"/>
                <w:highlight w:val="none"/>
              </w:rPr>
              <w:t>安徽嘉豪建设工程有限公司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616062"/>
    <w:rsid w:val="36A43370"/>
    <w:rsid w:val="7AD171F3"/>
    <w:rsid w:val="7D8C1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2020-11-21T04:07:12Z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