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58"/>
        <w:gridCol w:w="1037"/>
        <w:gridCol w:w="2530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明光市众建市政工程有限公司</w:t>
            </w:r>
            <w:bookmarkEnd w:id="2"/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O：28.02.00;28.03.01;28.04.02;28.05.01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王胜龙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E：28.02.00;28.03.01;28.04.02;28.05.01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O：28.02.00;28.03.01;28.04.02;28.05.01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周文廷、</w:t>
            </w:r>
            <w:bookmarkStart w:id="4" w:name="_GoBack"/>
            <w:bookmarkEnd w:id="4"/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岳树亮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10" w:hangingChars="100"/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签订合同—组建项目部—编制施工组织设计—开工报告—组织施工→过程检验—分部分项验收—竣工验收—交付及交付后的活动。</w:t>
            </w:r>
          </w:p>
          <w:p>
            <w:pPr>
              <w:pStyle w:val="2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  <w:t>细分如下：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基础工程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定位轴线→土方开挖→基础垫层→柱基钢筋→柱基模板→浇柱基砼→基础梁模板→基础梁钢筋→基础梁浇砼→砖基础砌筑→回填土。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投点、放线、复核轴线尺寸→柱模板、钢筋、混凝土施工→现浇梁板模板、钢筋、混凝土施工→混凝土养护→承重模板拆模→框架填充墙砌筑→主体验收。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内、外装饰工程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主体施工结束、验收合格，即着手内、外装修施工，原则上先内后外，内装饰施工，按楼层分流水段，自下向上、逐层推进，外装饰按立面自上而下分段施工。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室内装饰工程：接建主体验收合格→内粉刷、门窗框安装→楼地面施工→细木制品及楼梯栏杆、扶手安装→室内涂料、油漆。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室外装饰工程：外墙砌体验收合格→外墙抹灰基层→门窗框安装→外墙面层装饰（涂料）→门窗扇安装。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屋面工程</w:t>
            </w:r>
          </w:p>
          <w:p>
            <w:pPr>
              <w:ind w:firstLine="57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主体施工结束即着手准备，按设计要求，立即组织人员进行施工，原则上先高后低。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水电安装工程：本工程安装分项与土建密切配合，同步进行。具体施工顺序为：基础接地、避雷系统安装及各类套管预埋→主体混凝土及砌体中各类套管、箱盒预埋及给排水立管安装→水电安装主要阶段（与土建装饰同时进行）→电气设备调试、运行及管道冲洗、试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测量、 土方开挖、 基础垫层、砼浇筑、隐蔽工程等；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需要确认过程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隐蔽工程、监理见证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</w:rPr>
              <w:pict>
                <v:shape id="_x0000_s2051" o:spid="_x0000_s2051" o:spt="32" type="#_x0000_t32" style="position:absolute;left:0pt;margin-left:55.15pt;margin-top:12.75pt;height:0pt;width:42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不适用条款是 Q8.3J10.3   ，不适用理由：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项目部依据业主提供图纸进行施工，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无设计开发能力，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只进行施工过程策划，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Q8.1、J10.1.1、10.2条款里描述。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公司的《环境因素识别与评价管理程序》，规定了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识别方法、评价准则和控制方法。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由综合部组织进行了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识别评价，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重要环境因素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：噪声的排放、粉尘排放、固废的排物、火灾等，评价准确。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提供《危险源识别与风险评价一览表》，按照活动、区域进行了识别，提供《不可接受风险清单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《重大危险源清单》，其中重大危险源：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塌方、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火灾事故的发生、触电、机械伤害、高空坠落、砸伤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职业病危害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等，评价准确；对于识别出不可接受风险，遵守公司制定管理方案，详察看项目管理部，危险源辨识基本充分、风险等级评价基本合理。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1、《公路工程技术标准》（JTG  B01-2014）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4、《建筑工程施工质量验收统一标准》GB50300-2013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5、《建筑施工安全检查标准》JGJ59-2011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6、《建筑施工现场环境与卫生标准》JGJ146-2013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7、《施工现场临时用电安全技术规范》 JGJ46-2005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8、《建筑施工企业安全生产评价标准》 JGJ/T77-2010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9、《建筑施工作业劳动防护用品配备及使用标准》JGJ184-2009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4）《混凝土结构工程施工质量验收规范》GB50204-2015；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5）《屋面工程质量验收规范》GB50207-2012；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6）《建筑地面工程施工质量验收规范》GB50209-2010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7）《建筑装饰装修工程质量验收规范》GB50210-2011；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8）《建筑给水排水及及采暖工程施工质量验收规范》GB50242-2002；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9）《建筑电气工程施工质量验收规范》GB50303-2011；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10）《建筑施工安全检查标准》JGJ59-2011 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11）《建筑机械使用安全技术规程》JGJ33-2012。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《水电水利基本建设工程单元工程质量等级评定标准》DL/T5113-2005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《混凝土结构工程施工质量验收规范》（2011版）GB50204-2015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《地下防水工程施工质量验收规范 》GB50208-2011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《水利水电建设工程验收规范》SL223-2008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《水工混凝土试验规程》DL/T5150-20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《水工混凝土砂石骨料试验规程》DL/T5151-2015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见证取样等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王志慧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sz w:val="21"/>
          <w:szCs w:val="21"/>
        </w:rPr>
        <w:t>王胜龙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2020年11月19日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565F9"/>
    <w:rsid w:val="47606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2020-11-21T03:31:35Z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