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rFonts w:hint="eastAsia"/>
          <w:szCs w:val="44"/>
          <w:u w:val="single"/>
        </w:rPr>
        <w:t>0</w:t>
      </w:r>
      <w:r>
        <w:rPr>
          <w:rFonts w:hint="eastAsia"/>
          <w:szCs w:val="44"/>
          <w:u w:val="single"/>
          <w:lang w:val="en-US" w:eastAsia="zh-CN"/>
        </w:rPr>
        <w:t>614</w:t>
      </w:r>
      <w:r>
        <w:rPr>
          <w:rFonts w:hint="eastAsia"/>
          <w:szCs w:val="44"/>
          <w:u w:val="single"/>
        </w:rPr>
        <w:t>-2020-QO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河北北铭光电设备股份有限公司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sym w:font="Wingdings" w:char="00A8"/>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259"/>
        <w:gridCol w:w="581"/>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667" w:type="dxa"/>
            <w:gridSpan w:val="3"/>
            <w:vAlign w:val="center"/>
          </w:tcPr>
          <w:p>
            <w:pPr>
              <w:spacing w:line="240" w:lineRule="exact"/>
              <w:jc w:val="center"/>
              <w:rPr>
                <w:b/>
                <w:color w:val="000000"/>
                <w:sz w:val="20"/>
                <w:szCs w:val="20"/>
              </w:rPr>
            </w:pPr>
            <w:r>
              <w:rPr>
                <w:rFonts w:hint="eastAsia"/>
                <w:sz w:val="18"/>
                <w:szCs w:val="18"/>
              </w:rPr>
              <w:t>注册资格</w:t>
            </w:r>
          </w:p>
        </w:tc>
        <w:tc>
          <w:tcPr>
            <w:tcW w:w="2914"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2667"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914" w:type="dxa"/>
            <w:gridSpan w:val="4"/>
            <w:vAlign w:val="center"/>
          </w:tcPr>
          <w:p>
            <w:pPr>
              <w:spacing w:line="240" w:lineRule="exact"/>
              <w:jc w:val="center"/>
              <w:rPr>
                <w:rFonts w:hint="eastAsia" w:eastAsia="宋体"/>
                <w:b/>
                <w:color w:val="000000"/>
                <w:sz w:val="20"/>
                <w:szCs w:val="20"/>
                <w:lang w:eastAsia="zh-CN"/>
              </w:rPr>
            </w:pPr>
            <w:r>
              <w:rPr>
                <w:b/>
                <w:color w:val="000000"/>
                <w:sz w:val="20"/>
                <w:szCs w:val="20"/>
              </w:rPr>
              <w:t>Q:</w:t>
            </w:r>
            <w:r>
              <w:rPr>
                <w:rFonts w:hint="eastAsia"/>
                <w:b/>
                <w:color w:val="000000"/>
                <w:sz w:val="20"/>
                <w:szCs w:val="20"/>
                <w:lang w:eastAsia="zh-CN"/>
              </w:rPr>
              <w:t>16.02.06;17.12.05</w:t>
            </w:r>
          </w:p>
          <w:p>
            <w:pPr>
              <w:spacing w:line="240" w:lineRule="exact"/>
              <w:jc w:val="center"/>
              <w:rPr>
                <w:rFonts w:hint="eastAsia" w:eastAsia="宋体"/>
                <w:b/>
                <w:color w:val="000000"/>
                <w:sz w:val="20"/>
                <w:szCs w:val="20"/>
                <w:lang w:eastAsia="zh-CN"/>
              </w:rPr>
            </w:pPr>
            <w:r>
              <w:rPr>
                <w:b/>
                <w:color w:val="000000"/>
                <w:sz w:val="20"/>
                <w:szCs w:val="20"/>
              </w:rPr>
              <w:t>O:</w:t>
            </w:r>
            <w:r>
              <w:rPr>
                <w:rFonts w:hint="eastAsia"/>
                <w:b/>
                <w:color w:val="000000"/>
                <w:sz w:val="20"/>
                <w:szCs w:val="20"/>
                <w:lang w:eastAsia="zh-CN"/>
              </w:rPr>
              <w:t>16.02.06;17.12.05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val="en-US" w:eastAsia="zh-CN"/>
              </w:rPr>
              <w:t>李蒙生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667"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914" w:type="dxa"/>
            <w:gridSpan w:val="4"/>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667" w:type="dxa"/>
            <w:gridSpan w:val="3"/>
            <w:vAlign w:val="center"/>
          </w:tcPr>
          <w:p>
            <w:pPr>
              <w:rPr>
                <w:b/>
                <w:color w:val="000000"/>
                <w:sz w:val="20"/>
                <w:szCs w:val="20"/>
              </w:rPr>
            </w:pPr>
            <w:r>
              <w:rPr>
                <w:rFonts w:hint="eastAsia"/>
                <w:b/>
                <w:color w:val="000000"/>
                <w:sz w:val="20"/>
                <w:szCs w:val="20"/>
              </w:rPr>
              <w:t>工作单位</w:t>
            </w:r>
          </w:p>
        </w:tc>
        <w:tc>
          <w:tcPr>
            <w:tcW w:w="2914"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2667" w:type="dxa"/>
            <w:gridSpan w:val="3"/>
            <w:vAlign w:val="center"/>
          </w:tcPr>
          <w:p>
            <w:pPr>
              <w:rPr>
                <w:b/>
                <w:color w:val="000000"/>
              </w:rPr>
            </w:pPr>
          </w:p>
        </w:tc>
        <w:tc>
          <w:tcPr>
            <w:tcW w:w="2914" w:type="dxa"/>
            <w:gridSpan w:val="4"/>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质量管理体系,环境管理体系,职业健康安全管理体系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677"/>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sz w:val="21"/>
                <w:szCs w:val="21"/>
                <w:lang w:eastAsia="zh-CN"/>
              </w:rPr>
            </w:pPr>
            <w:r>
              <w:rPr>
                <w:rFonts w:hint="eastAsia"/>
                <w:sz w:val="21"/>
                <w:szCs w:val="21"/>
                <w:lang w:eastAsia="zh-CN"/>
              </w:rPr>
              <w:t>河北北铭光电设备股份有限公司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sz w:val="21"/>
                <w:szCs w:val="21"/>
                <w:lang w:eastAsia="zh-CN"/>
              </w:rPr>
            </w:pPr>
            <w:bookmarkStart w:id="4" w:name="注册地址"/>
            <w:r>
              <w:rPr>
                <w:sz w:val="21"/>
                <w:szCs w:val="21"/>
              </w:rPr>
              <w:t>河北省沧州市任丘市麻家坞镇刘泊村村西</w:t>
            </w:r>
            <w:bookmarkEnd w:id="4"/>
          </w:p>
        </w:tc>
        <w:tc>
          <w:tcPr>
            <w:tcW w:w="677" w:type="dxa"/>
            <w:vMerge w:val="restart"/>
            <w:vAlign w:val="center"/>
          </w:tcPr>
          <w:p>
            <w:pPr>
              <w:spacing w:line="280" w:lineRule="exact"/>
              <w:jc w:val="both"/>
              <w:rPr>
                <w:sz w:val="21"/>
                <w:szCs w:val="21"/>
              </w:rPr>
            </w:pPr>
            <w:r>
              <w:rPr>
                <w:rFonts w:hint="eastAsia"/>
                <w:sz w:val="21"/>
                <w:szCs w:val="21"/>
              </w:rPr>
              <w:t>邮编</w:t>
            </w:r>
          </w:p>
        </w:tc>
        <w:tc>
          <w:tcPr>
            <w:tcW w:w="2123" w:type="dxa"/>
            <w:vAlign w:val="center"/>
          </w:tcPr>
          <w:p>
            <w:pPr>
              <w:spacing w:line="280" w:lineRule="exact"/>
              <w:jc w:val="both"/>
              <w:rPr>
                <w:sz w:val="21"/>
                <w:szCs w:val="21"/>
              </w:rPr>
            </w:pPr>
            <w:r>
              <w:rPr>
                <w:b w:val="0"/>
                <w:bCs w:val="0"/>
                <w:sz w:val="21"/>
                <w:szCs w:val="21"/>
              </w:rP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center"/>
          </w:tcPr>
          <w:p>
            <w:pPr>
              <w:spacing w:line="280" w:lineRule="exact"/>
              <w:jc w:val="both"/>
              <w:rPr>
                <w:rFonts w:hint="eastAsia"/>
                <w:sz w:val="21"/>
                <w:szCs w:val="21"/>
                <w:lang w:eastAsia="zh-CN"/>
              </w:rPr>
            </w:pPr>
            <w:r>
              <w:rPr>
                <w:rFonts w:hint="eastAsia"/>
                <w:sz w:val="21"/>
                <w:szCs w:val="21"/>
                <w:lang w:eastAsia="zh-CN"/>
              </w:rPr>
              <w:t>河北省沧州市任丘市麻家坞镇刘泊村村西</w:t>
            </w:r>
          </w:p>
        </w:tc>
        <w:tc>
          <w:tcPr>
            <w:tcW w:w="677" w:type="dxa"/>
            <w:vMerge w:val="continue"/>
            <w:vAlign w:val="center"/>
          </w:tcPr>
          <w:p>
            <w:pPr>
              <w:spacing w:line="280" w:lineRule="exact"/>
              <w:jc w:val="both"/>
              <w:rPr>
                <w:sz w:val="21"/>
                <w:szCs w:val="21"/>
              </w:rPr>
            </w:pPr>
          </w:p>
        </w:tc>
        <w:tc>
          <w:tcPr>
            <w:tcW w:w="2123" w:type="dxa"/>
            <w:vAlign w:val="center"/>
          </w:tcPr>
          <w:p>
            <w:pPr>
              <w:spacing w:line="280" w:lineRule="exact"/>
              <w:jc w:val="both"/>
              <w:rPr>
                <w:sz w:val="21"/>
                <w:szCs w:val="21"/>
              </w:rPr>
            </w:pPr>
            <w:bookmarkStart w:id="5" w:name="生产邮编"/>
            <w:r>
              <w:rPr>
                <w:b w:val="0"/>
                <w:bCs w:val="0"/>
                <w:sz w:val="21"/>
                <w:szCs w:val="21"/>
              </w:rPr>
              <w:t>062550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hint="default" w:eastAsia="宋体"/>
                <w:sz w:val="21"/>
                <w:szCs w:val="21"/>
                <w:lang w:val="en-US" w:eastAsia="zh-CN"/>
              </w:rPr>
            </w:pPr>
            <w:r>
              <w:rPr>
                <w:rFonts w:hint="eastAsia"/>
                <w:sz w:val="21"/>
                <w:szCs w:val="21"/>
                <w:lang w:val="en-US" w:eastAsia="zh-CN"/>
              </w:rPr>
              <w:t>何玉峰</w:t>
            </w:r>
          </w:p>
        </w:tc>
        <w:tc>
          <w:tcPr>
            <w:tcW w:w="1463" w:type="dxa"/>
            <w:vAlign w:val="center"/>
          </w:tcPr>
          <w:p>
            <w:pPr>
              <w:spacing w:line="280" w:lineRule="exact"/>
              <w:jc w:val="both"/>
              <w:rPr>
                <w:sz w:val="21"/>
                <w:szCs w:val="21"/>
              </w:rPr>
            </w:pPr>
            <w:r>
              <w:rPr>
                <w:rFonts w:hint="eastAsia"/>
                <w:sz w:val="21"/>
                <w:szCs w:val="21"/>
              </w:rPr>
              <w:t>电话</w:t>
            </w:r>
          </w:p>
        </w:tc>
        <w:tc>
          <w:tcPr>
            <w:tcW w:w="2180" w:type="dxa"/>
            <w:vAlign w:val="center"/>
          </w:tcPr>
          <w:p>
            <w:pPr>
              <w:spacing w:line="280" w:lineRule="exact"/>
              <w:jc w:val="both"/>
              <w:rPr>
                <w:sz w:val="21"/>
                <w:szCs w:val="21"/>
              </w:rPr>
            </w:pPr>
            <w:bookmarkStart w:id="6" w:name="联系人手机"/>
            <w:r>
              <w:rPr>
                <w:sz w:val="21"/>
                <w:szCs w:val="21"/>
              </w:rPr>
              <w:t>18932772229</w:t>
            </w:r>
            <w:bookmarkEnd w:id="6"/>
          </w:p>
        </w:tc>
        <w:tc>
          <w:tcPr>
            <w:tcW w:w="677" w:type="dxa"/>
            <w:vAlign w:val="center"/>
          </w:tcPr>
          <w:p>
            <w:pPr>
              <w:spacing w:line="280" w:lineRule="exact"/>
              <w:jc w:val="both"/>
              <w:rPr>
                <w:sz w:val="21"/>
                <w:szCs w:val="21"/>
              </w:rPr>
            </w:pPr>
            <w:r>
              <w:rPr>
                <w:rFonts w:hint="eastAsia"/>
                <w:sz w:val="21"/>
                <w:szCs w:val="21"/>
              </w:rPr>
              <w:t>传真</w:t>
            </w:r>
          </w:p>
        </w:tc>
        <w:tc>
          <w:tcPr>
            <w:tcW w:w="2123" w:type="dxa"/>
            <w:vAlign w:val="center"/>
          </w:tcPr>
          <w:p>
            <w:pPr>
              <w:spacing w:line="280" w:lineRule="exact"/>
              <w:jc w:val="both"/>
              <w:rPr>
                <w:sz w:val="21"/>
                <w:szCs w:val="21"/>
              </w:rPr>
            </w:pPr>
            <w:bookmarkStart w:id="7" w:name="联系人传真Add1"/>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spacing w:line="280" w:lineRule="exact"/>
              <w:jc w:val="both"/>
              <w:rPr>
                <w:sz w:val="21"/>
                <w:szCs w:val="21"/>
              </w:rPr>
            </w:pPr>
            <w:bookmarkStart w:id="8" w:name="法人"/>
            <w:r>
              <w:rPr>
                <w:sz w:val="21"/>
                <w:szCs w:val="21"/>
              </w:rPr>
              <w:t>许建涛</w:t>
            </w:r>
            <w:bookmarkEnd w:id="8"/>
          </w:p>
        </w:tc>
        <w:tc>
          <w:tcPr>
            <w:tcW w:w="1463" w:type="dxa"/>
            <w:vAlign w:val="center"/>
          </w:tcPr>
          <w:p>
            <w:pPr>
              <w:spacing w:line="280" w:lineRule="exact"/>
              <w:jc w:val="both"/>
              <w:rPr>
                <w:sz w:val="21"/>
                <w:szCs w:val="21"/>
              </w:rPr>
            </w:pPr>
            <w:r>
              <w:rPr>
                <w:rFonts w:hint="eastAsia"/>
                <w:sz w:val="21"/>
                <w:szCs w:val="21"/>
              </w:rPr>
              <w:t>管理者代表</w:t>
            </w:r>
          </w:p>
        </w:tc>
        <w:tc>
          <w:tcPr>
            <w:tcW w:w="2180" w:type="dxa"/>
            <w:vAlign w:val="center"/>
          </w:tcPr>
          <w:p>
            <w:pPr>
              <w:spacing w:line="280" w:lineRule="exact"/>
              <w:jc w:val="both"/>
              <w:rPr>
                <w:sz w:val="21"/>
                <w:szCs w:val="21"/>
              </w:rPr>
            </w:pPr>
            <w:r>
              <w:rPr>
                <w:rFonts w:hint="eastAsia"/>
              </w:rPr>
              <w:t>龚</w:t>
            </w:r>
            <w:r>
              <w:rPr>
                <w:rFonts w:hint="eastAsia"/>
                <w:lang w:val="en-US" w:eastAsia="zh-CN"/>
              </w:rPr>
              <w:t>建</w:t>
            </w:r>
            <w:r>
              <w:rPr>
                <w:rFonts w:hint="eastAsia"/>
              </w:rPr>
              <w:t>伟</w:t>
            </w:r>
          </w:p>
        </w:tc>
        <w:tc>
          <w:tcPr>
            <w:tcW w:w="677" w:type="dxa"/>
            <w:vAlign w:val="center"/>
          </w:tcPr>
          <w:p>
            <w:pPr>
              <w:spacing w:line="280" w:lineRule="exact"/>
              <w:jc w:val="both"/>
              <w:rPr>
                <w:sz w:val="21"/>
                <w:szCs w:val="21"/>
              </w:rPr>
            </w:pPr>
            <w:r>
              <w:rPr>
                <w:rFonts w:hint="eastAsia"/>
                <w:sz w:val="21"/>
                <w:szCs w:val="21"/>
              </w:rPr>
              <w:t>邮箱</w:t>
            </w:r>
          </w:p>
        </w:tc>
        <w:tc>
          <w:tcPr>
            <w:tcW w:w="2123" w:type="dxa"/>
            <w:vAlign w:val="center"/>
          </w:tcPr>
          <w:p>
            <w:pPr>
              <w:spacing w:line="280" w:lineRule="exact"/>
              <w:jc w:val="both"/>
              <w:rPr>
                <w:rFonts w:hint="default" w:eastAsia="宋体"/>
                <w:sz w:val="21"/>
                <w:szCs w:val="21"/>
                <w:lang w:val="en-US" w:eastAsia="zh-CN"/>
              </w:rPr>
            </w:pPr>
            <w:bookmarkStart w:id="9" w:name="联系人邮箱"/>
            <w:r>
              <w:rPr>
                <w:b w:val="0"/>
                <w:bCs w:val="0"/>
                <w:sz w:val="21"/>
                <w:szCs w:val="21"/>
              </w:rPr>
              <w:t>4694163@qq.com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2020年</w:t>
            </w:r>
            <w:r>
              <w:rPr>
                <w:rFonts w:hint="eastAsia" w:cs="Times New Roman"/>
                <w:b w:val="0"/>
                <w:bCs/>
                <w:color w:val="000000"/>
                <w:sz w:val="20"/>
                <w:szCs w:val="20"/>
                <w:lang w:val="en-US" w:eastAsia="zh-CN"/>
              </w:rPr>
              <w:t>1</w:t>
            </w:r>
            <w:r>
              <w:rPr>
                <w:rFonts w:hint="default" w:ascii="Times New Roman" w:hAnsi="Times New Roman" w:cs="Times New Roman"/>
                <w:b w:val="0"/>
                <w:bCs/>
                <w:color w:val="000000"/>
                <w:sz w:val="20"/>
                <w:szCs w:val="20"/>
                <w:lang w:val="en-US"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280" w:lineRule="exact"/>
              <w:rPr>
                <w:rFonts w:hint="eastAsia" w:eastAsia="宋体" w:cs="Times New Roman"/>
                <w:b w:val="0"/>
                <w:bCs/>
                <w:color w:val="000000"/>
                <w:sz w:val="20"/>
                <w:szCs w:val="20"/>
                <w:lang w:eastAsia="zh-CN"/>
              </w:rPr>
            </w:pPr>
            <w:bookmarkStart w:id="10" w:name="审核范围"/>
            <w:r>
              <w:rPr>
                <w:rFonts w:hint="eastAsia" w:eastAsia="宋体" w:cs="Times New Roman"/>
                <w:b w:val="0"/>
                <w:bCs/>
                <w:color w:val="000000"/>
                <w:sz w:val="20"/>
                <w:szCs w:val="20"/>
                <w:lang w:eastAsia="zh-CN"/>
              </w:rPr>
              <w:t>Q：铁附件（不含铸造）、水泥制品（水泥三盘）的生产</w:t>
            </w:r>
          </w:p>
          <w:p>
            <w:pPr>
              <w:spacing w:line="280" w:lineRule="exact"/>
              <w:rPr>
                <w:rFonts w:hint="default" w:ascii="Times New Roman" w:hAnsi="Times New Roman" w:cs="Times New Roman"/>
                <w:b w:val="0"/>
                <w:bCs/>
                <w:color w:val="000000"/>
                <w:sz w:val="20"/>
                <w:szCs w:val="20"/>
              </w:rPr>
            </w:pPr>
            <w:r>
              <w:rPr>
                <w:rFonts w:hint="eastAsia" w:eastAsia="宋体" w:cs="Times New Roman"/>
                <w:b w:val="0"/>
                <w:bCs/>
                <w:color w:val="000000"/>
                <w:sz w:val="20"/>
                <w:szCs w:val="20"/>
                <w:lang w:eastAsia="zh-CN"/>
              </w:rPr>
              <w:t>O：铁附件（不含铸造）、水泥制品（水泥三盘）的生产及所涉及的职业健康安全管理活动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default" w:ascii="Times New Roman" w:hAnsi="Times New Roman" w:eastAsia="宋体" w:cs="Times New Roman"/>
                <w:b w:val="0"/>
                <w:bCs/>
                <w:color w:val="000000"/>
                <w:sz w:val="20"/>
                <w:szCs w:val="20"/>
                <w:lang w:eastAsia="zh-CN"/>
              </w:rPr>
            </w:pPr>
            <w:bookmarkStart w:id="11" w:name="专业代码"/>
            <w:r>
              <w:rPr>
                <w:rFonts w:hint="default" w:ascii="Times New Roman" w:hAnsi="Times New Roman" w:cs="Times New Roman"/>
                <w:b w:val="0"/>
                <w:bCs/>
                <w:color w:val="000000"/>
                <w:sz w:val="20"/>
                <w:szCs w:val="20"/>
              </w:rPr>
              <w:t>Q：</w:t>
            </w:r>
            <w:r>
              <w:rPr>
                <w:rFonts w:hint="eastAsia" w:cs="Times New Roman"/>
                <w:b w:val="0"/>
                <w:bCs/>
                <w:color w:val="000000"/>
                <w:sz w:val="20"/>
                <w:szCs w:val="20"/>
                <w:lang w:eastAsia="zh-CN"/>
              </w:rPr>
              <w:t>16.02.06;17.12.05</w:t>
            </w:r>
          </w:p>
          <w:p>
            <w:pPr>
              <w:spacing w:line="280" w:lineRule="exact"/>
              <w:rPr>
                <w:rFonts w:hint="default" w:ascii="Times New Roman" w:hAnsi="Times New Roman" w:eastAsia="宋体" w:cs="Times New Roman"/>
                <w:b w:val="0"/>
                <w:bCs/>
                <w:color w:val="000000"/>
                <w:sz w:val="20"/>
                <w:szCs w:val="20"/>
                <w:lang w:eastAsia="zh-CN"/>
              </w:rPr>
            </w:pPr>
            <w:r>
              <w:rPr>
                <w:rFonts w:hint="default" w:ascii="Times New Roman" w:hAnsi="Times New Roman" w:cs="Times New Roman"/>
                <w:b w:val="0"/>
                <w:bCs/>
                <w:color w:val="000000"/>
                <w:sz w:val="20"/>
                <w:szCs w:val="20"/>
              </w:rPr>
              <w:t>O：</w:t>
            </w:r>
            <w:bookmarkEnd w:id="11"/>
            <w:r>
              <w:rPr>
                <w:rFonts w:hint="eastAsia" w:cs="Times New Roman"/>
                <w:b w:val="0"/>
                <w:bCs/>
                <w:color w:val="000000"/>
                <w:sz w:val="20"/>
                <w:szCs w:val="20"/>
                <w:lang w:eastAsia="zh-CN"/>
              </w:rPr>
              <w:t>16.02.06;17.12.05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总部以外分公司(分场所)名称、地址（可附多场所清单）</w:t>
            </w:r>
            <w:r>
              <w:rPr>
                <w:rFonts w:hint="default" w:ascii="Times New Roman" w:hAnsi="Times New Roman" w:cs="Times New Roman"/>
                <w:b w:val="0"/>
                <w:bCs/>
                <w:color w:val="000000"/>
                <w:sz w:val="20"/>
                <w:szCs w:val="20"/>
                <w:lang w:val="en-US" w:eastAsia="zh-CN"/>
              </w:rPr>
              <w:t>无</w:t>
            </w:r>
          </w:p>
          <w:p>
            <w:pPr>
              <w:spacing w:line="280" w:lineRule="exact"/>
              <w:rPr>
                <w:rFonts w:hint="default" w:ascii="Times New Roman" w:hAnsi="Times New Roman" w:eastAsia="宋体" w:cs="Times New Roman"/>
                <w:b w:val="0"/>
                <w:bCs/>
                <w:color w:val="000000"/>
                <w:sz w:val="20"/>
                <w:szCs w:val="20"/>
                <w:lang w:val="en-US" w:eastAsia="zh-CN"/>
              </w:rPr>
            </w:pPr>
            <w:r>
              <w:rPr>
                <w:rFonts w:hint="default" w:ascii="Times New Roman" w:hAnsi="Times New Roman" w:cs="Times New Roman"/>
                <w:b w:val="0"/>
                <w:bCs/>
                <w:color w:val="000000"/>
                <w:sz w:val="20"/>
                <w:szCs w:val="20"/>
              </w:rPr>
              <w:t>所有项目部(</w:t>
            </w:r>
            <w:r>
              <w:rPr>
                <w:rFonts w:hint="default" w:ascii="Times New Roman" w:hAnsi="Times New Roman" w:cs="Times New Roman"/>
                <w:b w:val="0"/>
                <w:bCs/>
                <w:color w:val="000000"/>
                <w:spacing w:val="-2"/>
                <w:sz w:val="20"/>
                <w:szCs w:val="20"/>
              </w:rPr>
              <w:t>临时场所</w:t>
            </w:r>
            <w:r>
              <w:rPr>
                <w:rFonts w:hint="default" w:ascii="Times New Roman" w:hAnsi="Times New Roman" w:cs="Times New Roman"/>
                <w:b w:val="0"/>
                <w:bCs/>
                <w:color w:val="000000"/>
                <w:sz w:val="20"/>
                <w:szCs w:val="20"/>
              </w:rPr>
              <w:t>)名称、地址(可附项目清单)</w:t>
            </w:r>
            <w:r>
              <w:rPr>
                <w:rFonts w:hint="default" w:ascii="Times New Roman" w:hAnsi="Times New Roman" w:cs="Times New Roman"/>
                <w:b w:val="0"/>
                <w:bCs/>
                <w:color w:val="000000"/>
                <w:sz w:val="20"/>
                <w:szCs w:val="20"/>
                <w:lang w:val="en-US" w:eastAsia="zh-CN"/>
              </w:rPr>
              <w:t>无</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val="0"/>
          <w:bCs w:val="0"/>
          <w:sz w:val="21"/>
          <w:szCs w:val="21"/>
          <w:lang w:val="en-US" w:eastAsia="zh-CN"/>
        </w:rPr>
        <w:t>办公区、生产车间</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b w:val="0"/>
                <w:bCs w:val="0"/>
                <w:sz w:val="21"/>
                <w:szCs w:val="21"/>
              </w:rPr>
              <w:t>电力标示牌</w:t>
            </w:r>
            <w:r>
              <w:rPr>
                <w:rFonts w:hint="eastAsia"/>
                <w:b w:val="0"/>
                <w:bCs w:val="0"/>
                <w:sz w:val="21"/>
                <w:szCs w:val="21"/>
                <w:lang w:eastAsia="zh-CN"/>
              </w:rPr>
              <w:t>、</w:t>
            </w:r>
            <w:r>
              <w:rPr>
                <w:b w:val="0"/>
                <w:bCs w:val="0"/>
                <w:sz w:val="21"/>
                <w:szCs w:val="21"/>
              </w:rPr>
              <w:t>铁附件（不含铸造）、水泥制品（水泥三盘）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办公室、生产技术部、供销部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河北省沧州市任丘市麻家坞镇刘泊村村西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河北省沧州市任丘市麻家坞镇刘泊村村西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如不一致，请简述不一致情况：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lang w:val="en-US" w:eastAsia="zh-CN"/>
              </w:rPr>
              <w:t>范围变更为</w:t>
            </w:r>
            <w:r>
              <w:rPr>
                <w:rFonts w:hint="eastAsia"/>
                <w:b w:val="0"/>
                <w:bCs w:val="0"/>
                <w:sz w:val="21"/>
                <w:szCs w:val="21"/>
              </w:rPr>
              <w:t>电力标示牌</w:t>
            </w:r>
            <w:r>
              <w:rPr>
                <w:rFonts w:hint="eastAsia"/>
                <w:b w:val="0"/>
                <w:bCs w:val="0"/>
                <w:sz w:val="21"/>
                <w:szCs w:val="21"/>
                <w:lang w:eastAsia="zh-CN"/>
              </w:rPr>
              <w:t>、</w:t>
            </w:r>
            <w:r>
              <w:rPr>
                <w:b w:val="0"/>
                <w:bCs w:val="0"/>
                <w:sz w:val="21"/>
                <w:szCs w:val="21"/>
              </w:rPr>
              <w:t>铁附件（不含铸造）、水泥制品（水泥三盘）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种产品，规格型号种有条生产线，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sz w:val="21"/>
                <w:szCs w:val="21"/>
              </w:rPr>
              <w:t>GB/T2314-2008</w:t>
            </w:r>
            <w:r>
              <w:rPr>
                <w:rFonts w:hint="eastAsia"/>
                <w:sz w:val="21"/>
                <w:szCs w:val="21"/>
                <w:lang w:eastAsia="zh-CN"/>
              </w:rPr>
              <w:t>《</w:t>
            </w:r>
            <w:r>
              <w:rPr>
                <w:rFonts w:hint="eastAsia"/>
                <w:sz w:val="21"/>
                <w:szCs w:val="21"/>
              </w:rPr>
              <w:t>电力金具通用技术条件</w:t>
            </w:r>
            <w:r>
              <w:rPr>
                <w:rFonts w:hint="eastAsia"/>
                <w:sz w:val="21"/>
                <w:szCs w:val="21"/>
                <w:lang w:eastAsia="zh-CN"/>
              </w:rPr>
              <w:t>》</w:t>
            </w:r>
            <w:r>
              <w:rPr>
                <w:rFonts w:hint="eastAsia" w:ascii="Times New Roman" w:hAnsi="Times New Roman" w:eastAsia="宋体" w:cs="Times New Roman"/>
                <w:sz w:val="21"/>
                <w:szCs w:val="21"/>
                <w:lang w:eastAsia="zh-CN"/>
              </w:rPr>
              <w:t>GB/T2694-2010《输电线路铁塔制造技术条件》GB/T8239-2014《混凝土砌块》</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铁附件：下料—冲压—表面处理（外包）—焊接（必要时）—装配—成品</w:t>
            </w:r>
          </w:p>
          <w:p>
            <w:pPr>
              <w:snapToGrid w:val="0"/>
              <w:spacing w:line="280" w:lineRule="exact"/>
              <w:jc w:val="both"/>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水泥三盘：水泥沙石配比—加水搅拌—装模成型（含钢筋骨架焊接）—自然养护—脱模—检验—入库</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Times New Roman" w:hAnsi="Times New Roman" w:eastAsia="宋体" w:cs="Times New Roman"/>
                <w:b w:val="0"/>
                <w:bCs/>
                <w:sz w:val="21"/>
                <w:szCs w:val="21"/>
                <w:lang w:val="en-US" w:eastAsia="zh-CN"/>
              </w:rPr>
              <w:t>电力标示牌：下料—切割—表面处理—贴字—检验—入库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焊接、配料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产品运输、表面处理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r>
              <w:rPr>
                <w:rFonts w:hint="eastAsia"/>
                <w:color w:val="auto"/>
                <w:szCs w:val="22"/>
              </w:rPr>
              <w:t>摩擦焊机、四柱液压机、双盘摩擦压力机、开式可倾压力机、普通车床、搅拌机、钢筋切断机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r>
              <w:rPr>
                <w:rFonts w:hint="eastAsia"/>
                <w:sz w:val="21"/>
                <w:szCs w:val="21"/>
                <w:lang w:val="en-US" w:eastAsia="zh-CN"/>
              </w:rPr>
              <w:t>千分尺、游标卡尺、钢卷尺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sz w:val="21"/>
                <w:szCs w:val="21"/>
                <w:lang w:eastAsia="zh-CN"/>
              </w:rPr>
              <w:t>生产车间</w:t>
            </w:r>
            <w:r>
              <w:rPr>
                <w:rFonts w:hint="eastAsia"/>
                <w:sz w:val="21"/>
                <w:szCs w:val="21"/>
                <w:lang w:val="en-US" w:eastAsia="zh-CN"/>
              </w:rPr>
              <w:t>面积1500平米，</w:t>
            </w:r>
            <w:r>
              <w:rPr>
                <w:rFonts w:hint="eastAsia"/>
                <w:sz w:val="21"/>
                <w:szCs w:val="21"/>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是□否□需完善</w:t>
            </w:r>
          </w:p>
        </w:tc>
      </w:tr>
    </w:tbl>
    <w:p>
      <w:pPr>
        <w:spacing w:before="156" w:beforeLines="50" w:after="62" w:afterLines="20" w:line="360" w:lineRule="exact"/>
        <w:ind w:firstLine="257" w:firstLineChars="100"/>
        <w:rPr>
          <w:rFonts w:ascii="宋体"/>
          <w:b/>
          <w:color w:val="000000"/>
          <w:spacing w:val="-2"/>
          <w:sz w:val="22"/>
          <w:szCs w:val="22"/>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生产技术部、供销部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r>
              <w:rPr>
                <w:rFonts w:hint="eastAsia" w:ascii="宋体" w:hAnsi="宋体"/>
                <w:b/>
                <w:color w:val="000000"/>
                <w:sz w:val="20"/>
                <w:szCs w:val="20"/>
                <w:lang w:val="en-US" w:eastAsia="zh-CN"/>
              </w:rPr>
              <w:t>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w:t>
            </w:r>
            <w:r>
              <w:rPr>
                <w:rFonts w:hint="eastAsia" w:ascii="宋体" w:hAnsi="宋体"/>
                <w:b/>
                <w:color w:val="000000"/>
                <w:sz w:val="20"/>
                <w:szCs w:val="20"/>
                <w:lang w:val="en-US" w:eastAsia="zh-CN"/>
              </w:rPr>
              <w:t>生产技术部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10" w:firstLineChars="100"/>
        <w:rPr>
          <w:b w:val="0"/>
          <w:bCs w:val="0"/>
          <w:sz w:val="21"/>
          <w:szCs w:val="21"/>
        </w:rPr>
      </w:pPr>
      <w:r>
        <w:rPr>
          <w:b w:val="0"/>
          <w:bCs w:val="0"/>
          <w:sz w:val="21"/>
          <w:szCs w:val="21"/>
        </w:rPr>
        <w:t>Q：</w:t>
      </w:r>
      <w:r>
        <w:rPr>
          <w:rFonts w:hint="eastAsia"/>
          <w:b w:val="0"/>
          <w:bCs w:val="0"/>
          <w:sz w:val="21"/>
          <w:szCs w:val="21"/>
        </w:rPr>
        <w:t>电力标示牌</w:t>
      </w:r>
      <w:r>
        <w:rPr>
          <w:rFonts w:hint="eastAsia"/>
          <w:b w:val="0"/>
          <w:bCs w:val="0"/>
          <w:sz w:val="21"/>
          <w:szCs w:val="21"/>
          <w:lang w:eastAsia="zh-CN"/>
        </w:rPr>
        <w:t>、</w:t>
      </w:r>
      <w:r>
        <w:rPr>
          <w:b w:val="0"/>
          <w:bCs w:val="0"/>
          <w:sz w:val="21"/>
          <w:szCs w:val="21"/>
        </w:rPr>
        <w:t>铁附件（不含铸造）、水泥制品（水泥三盘）的生产</w:t>
      </w:r>
    </w:p>
    <w:p>
      <w:pPr>
        <w:spacing w:before="156" w:beforeLines="50" w:after="62" w:afterLines="20" w:line="360" w:lineRule="exact"/>
        <w:ind w:firstLine="210" w:firstLineChars="100"/>
        <w:rPr>
          <w:b w:val="0"/>
          <w:bCs w:val="0"/>
          <w:sz w:val="21"/>
          <w:szCs w:val="21"/>
        </w:rPr>
      </w:pPr>
      <w:r>
        <w:rPr>
          <w:b w:val="0"/>
          <w:bCs w:val="0"/>
          <w:sz w:val="21"/>
          <w:szCs w:val="21"/>
        </w:rPr>
        <w:t>O：</w:t>
      </w:r>
      <w:r>
        <w:rPr>
          <w:rFonts w:hint="eastAsia"/>
          <w:b w:val="0"/>
          <w:bCs w:val="0"/>
          <w:sz w:val="21"/>
          <w:szCs w:val="21"/>
        </w:rPr>
        <w:t>电力标示牌</w:t>
      </w:r>
      <w:r>
        <w:rPr>
          <w:rFonts w:hint="eastAsia"/>
          <w:b w:val="0"/>
          <w:bCs w:val="0"/>
          <w:sz w:val="21"/>
          <w:szCs w:val="21"/>
          <w:lang w:eastAsia="zh-CN"/>
        </w:rPr>
        <w:t>、</w:t>
      </w:r>
      <w:r>
        <w:rPr>
          <w:b w:val="0"/>
          <w:bCs w:val="0"/>
          <w:sz w:val="21"/>
          <w:szCs w:val="21"/>
        </w:rPr>
        <w:t>铁附件（不含铸造）、水泥制品（水泥三盘）的生产及所涉及的职业健康安全管理活动</w:t>
      </w:r>
    </w:p>
    <w:p>
      <w:pPr>
        <w:spacing w:before="156" w:beforeLines="50" w:after="62" w:afterLines="20" w:line="360" w:lineRule="exact"/>
        <w:ind w:firstLine="210" w:firstLineChars="100"/>
        <w:rPr>
          <w:b w:val="0"/>
          <w:bCs w:val="0"/>
          <w:sz w:val="21"/>
          <w:szCs w:val="21"/>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1722755</wp:posOffset>
            </wp:positionH>
            <wp:positionV relativeFrom="paragraph">
              <wp:posOffset>162560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bookmarkStart w:id="12" w:name="_GoBack"/>
      <w:r>
        <w:drawing>
          <wp:anchor distT="0" distB="0" distL="114300" distR="114300" simplePos="0" relativeHeight="251664384" behindDoc="0" locked="0" layoutInCell="1" allowOverlap="1">
            <wp:simplePos x="0" y="0"/>
            <wp:positionH relativeFrom="column">
              <wp:posOffset>1816100</wp:posOffset>
            </wp:positionH>
            <wp:positionV relativeFrom="paragraph">
              <wp:posOffset>161925</wp:posOffset>
            </wp:positionV>
            <wp:extent cx="918845" cy="48768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bookmarkEnd w:id="12"/>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w:t>
      </w:r>
      <w:r>
        <w:rPr>
          <w:rFonts w:hint="eastAsia" w:ascii="宋体" w:hAnsi="宋体"/>
          <w:b/>
          <w:color w:val="000000"/>
          <w:lang w:val="en-US" w:eastAsia="zh-CN"/>
        </w:rPr>
        <w:t>2020年11月16日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17.55pt;margin-top:40.25pt;height:259.55pt;width:448.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B42522"/>
    <w:rsid w:val="38E377CF"/>
    <w:rsid w:val="4C971B61"/>
    <w:rsid w:val="57B57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2020-11-18T05:49:49Z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