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29655" cy="8669020"/>
            <wp:effectExtent l="0" t="0" r="4445" b="5080"/>
            <wp:docPr id="2" name="图片 2" descr="SKMBT_28320111909330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KMBT_28320111909330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9655" cy="866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"/>
        <w:gridCol w:w="219"/>
        <w:gridCol w:w="471"/>
        <w:gridCol w:w="720"/>
        <w:gridCol w:w="513"/>
        <w:gridCol w:w="628"/>
        <w:gridCol w:w="1076"/>
        <w:gridCol w:w="625"/>
        <w:gridCol w:w="1079"/>
        <w:gridCol w:w="51"/>
        <w:gridCol w:w="482"/>
        <w:gridCol w:w="798"/>
        <w:gridCol w:w="373"/>
        <w:gridCol w:w="75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河北北铭光电设备股份有限公司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0614-2020-QO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何玉峰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18932772229</w:t>
            </w:r>
            <w:bookmarkEnd w:id="6"/>
          </w:p>
        </w:tc>
        <w:tc>
          <w:tcPr>
            <w:tcW w:w="1280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4694163@qq.com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</w:rPr>
              <w:t>许建涛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1280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864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Q：铁附件（不含铸造）、水泥制品（水泥三盘）的生产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O：铁附件（不含铸造）、水泥制品（水泥三盘）的生产及所涉及的职业健康安全管理活动</w:t>
            </w:r>
            <w:bookmarkEnd w:id="10"/>
          </w:p>
        </w:tc>
        <w:tc>
          <w:tcPr>
            <w:tcW w:w="79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7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Q16.02.06;17.12.05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O16.02.06;17.12.05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2020年11月16日 上午至2020年11月16日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83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83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Q:16.02.06,17.12.05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O:16.02.06,17.12.05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李蒙生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83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18031915393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ISC-1237307</w:t>
            </w:r>
          </w:p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83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2020.11.11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2020.11.15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2020.11.15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18"/>
        <w:gridCol w:w="5909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2020.11.16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O </w:t>
            </w:r>
            <w:r>
              <w:rPr>
                <w:rFonts w:hint="eastAsia"/>
                <w:sz w:val="21"/>
                <w:szCs w:val="21"/>
              </w:rPr>
              <w:t>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：组织的知识，文件化信息，危险源的识别评价情况，适用法律法规识别的充分性及合规性评价情况，目标、指标及管理方案的可行性；应急准备及响应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流程、设备、监视和测量设备等）资源的配置、特殊过程识别、危险源的识别评价情况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Q7.1.3/7.1.4/7.1.5/8.1/8.5.1；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2820FE"/>
    <w:rsid w:val="34A064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2020-11-19T02:09:26Z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