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auto"/>
          <w:sz w:val="28"/>
          <w:szCs w:val="28"/>
          <w:u w:val="single"/>
        </w:rPr>
      </w:pPr>
      <w:r>
        <w:rPr>
          <w:rFonts w:hint="eastAsia" w:ascii="楷体" w:hAnsi="楷体" w:eastAsia="楷体"/>
          <w:b/>
          <w:color w:val="000000"/>
          <w:sz w:val="32"/>
          <w:szCs w:val="32"/>
        </w:rPr>
        <w:t>受审核方：</w:t>
      </w:r>
      <w:r>
        <w:rPr>
          <w:rFonts w:ascii="宋体"/>
          <w:b/>
          <w:color w:val="auto"/>
          <w:sz w:val="28"/>
          <w:szCs w:val="28"/>
        </w:rPr>
        <w:t>河北瑞丰体育用品有限公司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250"/>
        <w:gridCol w:w="1351"/>
        <w:gridCol w:w="2536"/>
        <w:gridCol w:w="391"/>
        <w:gridCol w:w="850"/>
        <w:gridCol w:w="24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50" w:type="dxa"/>
            <w:vAlign w:val="center"/>
          </w:tcPr>
          <w:p>
            <w:pPr>
              <w:jc w:val="center"/>
              <w:rPr>
                <w:b/>
                <w:sz w:val="21"/>
                <w:szCs w:val="21"/>
              </w:rPr>
            </w:pPr>
            <w:r>
              <w:rPr>
                <w:rFonts w:hint="eastAsia"/>
                <w:b/>
                <w:sz w:val="21"/>
                <w:szCs w:val="21"/>
              </w:rPr>
              <w:t>职务</w:t>
            </w:r>
          </w:p>
        </w:tc>
        <w:tc>
          <w:tcPr>
            <w:tcW w:w="1351" w:type="dxa"/>
            <w:vAlign w:val="center"/>
          </w:tcPr>
          <w:p>
            <w:pPr>
              <w:jc w:val="center"/>
              <w:rPr>
                <w:b/>
                <w:sz w:val="21"/>
                <w:szCs w:val="21"/>
              </w:rPr>
            </w:pPr>
            <w:r>
              <w:rPr>
                <w:rFonts w:hint="eastAsia"/>
                <w:b/>
                <w:sz w:val="21"/>
                <w:szCs w:val="21"/>
              </w:rPr>
              <w:t>注册级别</w:t>
            </w:r>
          </w:p>
        </w:tc>
        <w:tc>
          <w:tcPr>
            <w:tcW w:w="2536" w:type="dxa"/>
            <w:vAlign w:val="center"/>
          </w:tcPr>
          <w:p>
            <w:pPr>
              <w:jc w:val="center"/>
              <w:rPr>
                <w:b/>
                <w:sz w:val="21"/>
                <w:szCs w:val="21"/>
              </w:rPr>
            </w:pPr>
            <w:r>
              <w:rPr>
                <w:rFonts w:hint="eastAsia"/>
                <w:b/>
                <w:sz w:val="21"/>
                <w:szCs w:val="21"/>
              </w:rPr>
              <w:t>审核员注册号</w:t>
            </w:r>
          </w:p>
        </w:tc>
        <w:tc>
          <w:tcPr>
            <w:tcW w:w="1486" w:type="dxa"/>
            <w:gridSpan w:val="3"/>
            <w:vAlign w:val="center"/>
          </w:tcPr>
          <w:p>
            <w:pPr>
              <w:jc w:val="center"/>
              <w:rPr>
                <w:b/>
                <w:sz w:val="21"/>
                <w:szCs w:val="21"/>
              </w:rPr>
            </w:pPr>
            <w:r>
              <w:rPr>
                <w:rFonts w:hint="eastAsia"/>
                <w:b/>
                <w:sz w:val="21"/>
                <w:szCs w:val="21"/>
              </w:rPr>
              <w:t>专业代码</w:t>
            </w:r>
          </w:p>
        </w:tc>
        <w:tc>
          <w:tcPr>
            <w:tcW w:w="1369"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250" w:type="dxa"/>
            <w:vAlign w:val="center"/>
          </w:tcPr>
          <w:p>
            <w:pPr>
              <w:jc w:val="center"/>
              <w:rPr>
                <w:b/>
                <w:sz w:val="21"/>
                <w:szCs w:val="21"/>
              </w:rPr>
            </w:pPr>
            <w:r>
              <w:rPr>
                <w:b/>
                <w:sz w:val="21"/>
                <w:szCs w:val="21"/>
              </w:rPr>
              <w:t>组长</w:t>
            </w:r>
          </w:p>
        </w:tc>
        <w:tc>
          <w:tcPr>
            <w:tcW w:w="1351"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36" w:type="dxa"/>
            <w:vAlign w:val="center"/>
          </w:tcPr>
          <w:p>
            <w:pPr>
              <w:jc w:val="center"/>
              <w:rPr>
                <w:b/>
                <w:sz w:val="21"/>
                <w:szCs w:val="21"/>
              </w:rPr>
            </w:pPr>
            <w:r>
              <w:rPr>
                <w:b/>
                <w:sz w:val="21"/>
                <w:szCs w:val="21"/>
              </w:rPr>
              <w:t>2019-N1QMS-3031946</w:t>
            </w:r>
          </w:p>
          <w:p>
            <w:pPr>
              <w:jc w:val="center"/>
              <w:rPr>
                <w:b/>
                <w:sz w:val="21"/>
                <w:szCs w:val="21"/>
              </w:rPr>
            </w:pPr>
            <w:r>
              <w:rPr>
                <w:b/>
                <w:sz w:val="21"/>
                <w:szCs w:val="21"/>
              </w:rPr>
              <w:t>2018-N1EMS-2031946</w:t>
            </w:r>
          </w:p>
          <w:p>
            <w:pPr>
              <w:jc w:val="center"/>
              <w:rPr>
                <w:b/>
                <w:sz w:val="21"/>
                <w:szCs w:val="21"/>
              </w:rPr>
            </w:pPr>
            <w:r>
              <w:rPr>
                <w:b/>
                <w:sz w:val="21"/>
                <w:szCs w:val="21"/>
              </w:rPr>
              <w:t>2019-N1OHSMS-2031946</w:t>
            </w:r>
          </w:p>
        </w:tc>
        <w:tc>
          <w:tcPr>
            <w:tcW w:w="1486" w:type="dxa"/>
            <w:gridSpan w:val="3"/>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369" w:type="dxa"/>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张星</w:t>
            </w:r>
          </w:p>
        </w:tc>
        <w:tc>
          <w:tcPr>
            <w:tcW w:w="824" w:type="dxa"/>
            <w:gridSpan w:val="2"/>
            <w:vAlign w:val="center"/>
          </w:tcPr>
          <w:p>
            <w:pPr>
              <w:jc w:val="center"/>
              <w:rPr>
                <w:b/>
                <w:sz w:val="21"/>
                <w:szCs w:val="21"/>
              </w:rPr>
            </w:pPr>
            <w:r>
              <w:rPr>
                <w:b/>
                <w:sz w:val="21"/>
                <w:szCs w:val="21"/>
              </w:rPr>
              <w:t>女</w:t>
            </w:r>
          </w:p>
        </w:tc>
        <w:tc>
          <w:tcPr>
            <w:tcW w:w="1250" w:type="dxa"/>
            <w:vAlign w:val="center"/>
          </w:tcPr>
          <w:p>
            <w:pPr>
              <w:jc w:val="center"/>
              <w:rPr>
                <w:b/>
                <w:sz w:val="21"/>
                <w:szCs w:val="21"/>
              </w:rPr>
            </w:pPr>
            <w:r>
              <w:rPr>
                <w:b/>
                <w:sz w:val="21"/>
                <w:szCs w:val="21"/>
              </w:rPr>
              <w:t>组员</w:t>
            </w:r>
          </w:p>
        </w:tc>
        <w:tc>
          <w:tcPr>
            <w:tcW w:w="1351"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36" w:type="dxa"/>
            <w:vAlign w:val="center"/>
          </w:tcPr>
          <w:p>
            <w:pPr>
              <w:jc w:val="center"/>
              <w:rPr>
                <w:b/>
                <w:sz w:val="21"/>
                <w:szCs w:val="21"/>
              </w:rPr>
            </w:pPr>
            <w:r>
              <w:rPr>
                <w:b/>
                <w:sz w:val="21"/>
                <w:szCs w:val="21"/>
              </w:rPr>
              <w:t>2020-N1QMS-1263722</w:t>
            </w:r>
          </w:p>
          <w:p>
            <w:pPr>
              <w:jc w:val="center"/>
              <w:rPr>
                <w:b/>
                <w:sz w:val="21"/>
                <w:szCs w:val="21"/>
              </w:rPr>
            </w:pPr>
            <w:r>
              <w:rPr>
                <w:b/>
                <w:sz w:val="21"/>
                <w:szCs w:val="21"/>
              </w:rPr>
              <w:t>2020-N1EMS-1263722</w:t>
            </w:r>
          </w:p>
        </w:tc>
        <w:tc>
          <w:tcPr>
            <w:tcW w:w="1486" w:type="dxa"/>
            <w:gridSpan w:val="3"/>
            <w:vAlign w:val="center"/>
          </w:tcPr>
          <w:p>
            <w:pPr>
              <w:jc w:val="center"/>
              <w:rPr>
                <w:b/>
                <w:sz w:val="21"/>
                <w:szCs w:val="21"/>
              </w:rPr>
            </w:pPr>
          </w:p>
        </w:tc>
        <w:tc>
          <w:tcPr>
            <w:tcW w:w="1369" w:type="dxa"/>
            <w:vAlign w:val="center"/>
          </w:tcPr>
          <w:p>
            <w:pPr>
              <w:jc w:val="center"/>
              <w:rPr>
                <w:b/>
                <w:sz w:val="21"/>
                <w:szCs w:val="21"/>
              </w:rPr>
            </w:pPr>
            <w:r>
              <w:rPr>
                <w:b/>
                <w:sz w:val="21"/>
                <w:szCs w:val="21"/>
              </w:rPr>
              <w:t>ISC-263722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250" w:type="dxa"/>
          </w:tcPr>
          <w:p>
            <w:pPr>
              <w:rPr>
                <w:b/>
                <w:sz w:val="21"/>
                <w:szCs w:val="21"/>
              </w:rPr>
            </w:pPr>
          </w:p>
        </w:tc>
        <w:tc>
          <w:tcPr>
            <w:tcW w:w="1351" w:type="dxa"/>
          </w:tcPr>
          <w:p>
            <w:pPr>
              <w:rPr>
                <w:b/>
                <w:sz w:val="21"/>
                <w:szCs w:val="21"/>
              </w:rPr>
            </w:pPr>
          </w:p>
        </w:tc>
        <w:tc>
          <w:tcPr>
            <w:tcW w:w="2536" w:type="dxa"/>
          </w:tcPr>
          <w:p>
            <w:pPr>
              <w:rPr>
                <w:b/>
                <w:sz w:val="21"/>
                <w:szCs w:val="21"/>
              </w:rPr>
            </w:pPr>
          </w:p>
        </w:tc>
        <w:tc>
          <w:tcPr>
            <w:tcW w:w="1486" w:type="dxa"/>
            <w:gridSpan w:val="3"/>
          </w:tcPr>
          <w:p>
            <w:pPr>
              <w:rPr>
                <w:b/>
                <w:sz w:val="21"/>
                <w:szCs w:val="21"/>
              </w:rPr>
            </w:pPr>
          </w:p>
        </w:tc>
        <w:tc>
          <w:tcPr>
            <w:tcW w:w="1369"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250" w:type="dxa"/>
          </w:tcPr>
          <w:p>
            <w:pPr>
              <w:rPr>
                <w:b/>
                <w:sz w:val="21"/>
                <w:szCs w:val="21"/>
              </w:rPr>
            </w:pPr>
          </w:p>
        </w:tc>
        <w:tc>
          <w:tcPr>
            <w:tcW w:w="1351" w:type="dxa"/>
          </w:tcPr>
          <w:p>
            <w:pPr>
              <w:rPr>
                <w:b/>
                <w:sz w:val="21"/>
                <w:szCs w:val="21"/>
              </w:rPr>
            </w:pPr>
          </w:p>
        </w:tc>
        <w:tc>
          <w:tcPr>
            <w:tcW w:w="2536" w:type="dxa"/>
          </w:tcPr>
          <w:p>
            <w:pPr>
              <w:rPr>
                <w:b/>
                <w:sz w:val="21"/>
                <w:szCs w:val="21"/>
              </w:rPr>
            </w:pPr>
          </w:p>
        </w:tc>
        <w:tc>
          <w:tcPr>
            <w:tcW w:w="1486" w:type="dxa"/>
            <w:gridSpan w:val="3"/>
          </w:tcPr>
          <w:p>
            <w:pPr>
              <w:rPr>
                <w:b/>
                <w:sz w:val="21"/>
                <w:szCs w:val="21"/>
              </w:rPr>
            </w:pPr>
          </w:p>
        </w:tc>
        <w:tc>
          <w:tcPr>
            <w:tcW w:w="1369"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250" w:type="dxa"/>
          </w:tcPr>
          <w:p>
            <w:pPr>
              <w:rPr>
                <w:b/>
                <w:sz w:val="21"/>
                <w:szCs w:val="21"/>
              </w:rPr>
            </w:pPr>
          </w:p>
        </w:tc>
        <w:tc>
          <w:tcPr>
            <w:tcW w:w="1351" w:type="dxa"/>
          </w:tcPr>
          <w:p>
            <w:pPr>
              <w:rPr>
                <w:b/>
                <w:sz w:val="21"/>
                <w:szCs w:val="21"/>
              </w:rPr>
            </w:pPr>
          </w:p>
        </w:tc>
        <w:tc>
          <w:tcPr>
            <w:tcW w:w="2536" w:type="dxa"/>
          </w:tcPr>
          <w:p>
            <w:pPr>
              <w:rPr>
                <w:b/>
                <w:sz w:val="21"/>
                <w:szCs w:val="21"/>
              </w:rPr>
            </w:pPr>
          </w:p>
        </w:tc>
        <w:tc>
          <w:tcPr>
            <w:tcW w:w="1486" w:type="dxa"/>
            <w:gridSpan w:val="3"/>
          </w:tcPr>
          <w:p>
            <w:pPr>
              <w:rPr>
                <w:b/>
                <w:sz w:val="21"/>
                <w:szCs w:val="21"/>
              </w:rPr>
            </w:pPr>
          </w:p>
        </w:tc>
        <w:tc>
          <w:tcPr>
            <w:tcW w:w="1369"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50" w:type="dxa"/>
            <w:vAlign w:val="center"/>
          </w:tcPr>
          <w:p>
            <w:pPr>
              <w:jc w:val="center"/>
              <w:rPr>
                <w:b/>
                <w:sz w:val="21"/>
                <w:szCs w:val="21"/>
              </w:rPr>
            </w:pPr>
            <w:r>
              <w:rPr>
                <w:rFonts w:hint="eastAsia"/>
                <w:b/>
                <w:sz w:val="21"/>
                <w:szCs w:val="21"/>
              </w:rPr>
              <w:t>角色</w:t>
            </w:r>
          </w:p>
        </w:tc>
        <w:tc>
          <w:tcPr>
            <w:tcW w:w="6742"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250" w:type="dxa"/>
            <w:vAlign w:val="center"/>
          </w:tcPr>
          <w:p>
            <w:pPr>
              <w:jc w:val="center"/>
              <w:rPr>
                <w:b/>
                <w:sz w:val="21"/>
                <w:szCs w:val="21"/>
              </w:rPr>
            </w:pPr>
          </w:p>
        </w:tc>
        <w:tc>
          <w:tcPr>
            <w:tcW w:w="6742"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250" w:type="dxa"/>
            <w:vAlign w:val="center"/>
          </w:tcPr>
          <w:p>
            <w:pPr>
              <w:jc w:val="center"/>
              <w:rPr>
                <w:b/>
              </w:rPr>
            </w:pPr>
          </w:p>
        </w:tc>
        <w:tc>
          <w:tcPr>
            <w:tcW w:w="6742"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250" w:type="dxa"/>
            <w:vAlign w:val="center"/>
          </w:tcPr>
          <w:p>
            <w:pPr>
              <w:jc w:val="center"/>
              <w:rPr>
                <w:b/>
              </w:rPr>
            </w:pPr>
          </w:p>
        </w:tc>
        <w:tc>
          <w:tcPr>
            <w:tcW w:w="6742"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b/>
          <w:sz w:val="21"/>
          <w:szCs w:val="21"/>
        </w:rPr>
        <w:sym w:font="Wingdings 2" w:char="0052"/>
      </w:r>
      <w:r>
        <w:rPr>
          <w:rFonts w:hint="eastAsia"/>
          <w:b/>
          <w:sz w:val="21"/>
          <w:szCs w:val="21"/>
        </w:rPr>
        <w:t xml:space="preserve">GB/T 19001:2016 idt ISO 9001:2015标准不适用条款: </w:t>
      </w:r>
    </w:p>
    <w:p>
      <w:pPr>
        <w:tabs>
          <w:tab w:val="left" w:pos="645"/>
        </w:tabs>
        <w:rPr>
          <w:b/>
          <w:sz w:val="21"/>
          <w:szCs w:val="21"/>
        </w:rPr>
      </w:pPr>
      <w:r>
        <w:rPr>
          <w:rFonts w:hint="eastAsia"/>
          <w:b/>
          <w:sz w:val="21"/>
          <w:szCs w:val="21"/>
        </w:rPr>
        <w:sym w:font="Wingdings 2" w:char="0052"/>
      </w:r>
      <w:r>
        <w:rPr>
          <w:rFonts w:hint="eastAsia"/>
          <w:b/>
          <w:sz w:val="21"/>
          <w:szCs w:val="21"/>
        </w:rPr>
        <w:t xml:space="preserve"> GB/T 50430-2017标准不适用条款: </w:t>
      </w:r>
    </w:p>
    <w:p>
      <w:pPr>
        <w:tabs>
          <w:tab w:val="left" w:pos="645"/>
        </w:tabs>
        <w:rPr>
          <w:b/>
          <w:sz w:val="21"/>
          <w:szCs w:val="21"/>
        </w:rPr>
      </w:pPr>
      <w:r>
        <w:rPr>
          <w:rFonts w:hint="eastAsia"/>
          <w:b/>
          <w:sz w:val="21"/>
          <w:szCs w:val="21"/>
        </w:rPr>
        <w:sym w:font="Wingdings 2" w:char="0052"/>
      </w:r>
      <w:r>
        <w:rPr>
          <w:rFonts w:hint="eastAsia"/>
          <w:b/>
          <w:sz w:val="21"/>
          <w:szCs w:val="21"/>
        </w:rPr>
        <w:t xml:space="preserve"> GB/T 24001-2016 idt ISO 14001:2015标准</w:t>
      </w:r>
    </w:p>
    <w:p>
      <w:pPr>
        <w:tabs>
          <w:tab w:val="left" w:pos="645"/>
        </w:tabs>
        <w:rPr>
          <w:b/>
          <w:sz w:val="21"/>
          <w:szCs w:val="21"/>
        </w:rPr>
      </w:pPr>
      <w:r>
        <w:rPr>
          <w:rFonts w:hint="eastAsia"/>
          <w:b/>
          <w:sz w:val="21"/>
          <w:szCs w:val="21"/>
        </w:rPr>
        <w:sym w:font="Wingdings 2" w:char="00A3"/>
      </w:r>
      <w:r>
        <w:rPr>
          <w:rFonts w:hint="eastAsia"/>
          <w:b/>
          <w:sz w:val="21"/>
          <w:szCs w:val="21"/>
        </w:rPr>
        <w:t xml:space="preserve"> GB/T 28001-2011 idt OHSMS 18001:2007标准</w:t>
      </w:r>
    </w:p>
    <w:p>
      <w:pPr>
        <w:tabs>
          <w:tab w:val="left" w:pos="645"/>
        </w:tabs>
        <w:rPr>
          <w:b/>
          <w:sz w:val="21"/>
          <w:szCs w:val="21"/>
        </w:rPr>
      </w:pPr>
      <w:r>
        <w:rPr>
          <w:rFonts w:hint="eastAsia"/>
          <w:b/>
          <w:sz w:val="21"/>
          <w:szCs w:val="21"/>
        </w:rPr>
        <w:sym w:font="Wingdings 2" w:char="0052"/>
      </w:r>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top"/>
          </w:tcPr>
          <w:p>
            <w:pPr>
              <w:spacing w:line="260" w:lineRule="exact"/>
              <w:jc w:val="left"/>
              <w:rPr>
                <w:rFonts w:ascii="宋体"/>
                <w:b/>
                <w:color w:val="FF0000"/>
                <w:sz w:val="21"/>
              </w:rPr>
            </w:pPr>
            <w:bookmarkStart w:id="5" w:name="组织名称Add"/>
            <w:r>
              <w:rPr>
                <w:rFonts w:ascii="宋体"/>
                <w:b/>
                <w:color w:val="auto"/>
                <w:sz w:val="21"/>
              </w:rPr>
              <w:t>河北瑞丰体育用品有限公司</w:t>
            </w:r>
            <w:bookmarkEnd w:id="5"/>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6" w:name="注册地址"/>
            <w:r>
              <w:rPr>
                <w:rFonts w:ascii="宋体"/>
                <w:b/>
                <w:sz w:val="21"/>
              </w:rPr>
              <w:t>定州市庞村镇西坂村</w:t>
            </w:r>
            <w:bookmarkEnd w:id="6"/>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7" w:name="注册邮编"/>
            <w:r>
              <w:rPr>
                <w:rFonts w:ascii="宋体"/>
                <w:b/>
                <w:sz w:val="21"/>
              </w:rPr>
              <w:t>073000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8" w:name="办公地址"/>
            <w:r>
              <w:rPr>
                <w:rFonts w:ascii="宋体"/>
                <w:b/>
                <w:sz w:val="21"/>
              </w:rPr>
              <w:t>定州市庞村镇西坂村</w:t>
            </w:r>
            <w:bookmarkEnd w:id="8"/>
          </w:p>
        </w:tc>
        <w:tc>
          <w:tcPr>
            <w:tcW w:w="1672" w:type="dxa"/>
            <w:vMerge w:val="continue"/>
            <w:vAlign w:val="center"/>
          </w:tcPr>
          <w:p>
            <w:pPr>
              <w:jc w:val="center"/>
              <w:rPr>
                <w:rFonts w:ascii="宋体"/>
                <w:b/>
                <w:sz w:val="21"/>
              </w:rPr>
            </w:pPr>
          </w:p>
        </w:tc>
        <w:tc>
          <w:tcPr>
            <w:tcW w:w="1500" w:type="dxa"/>
          </w:tcPr>
          <w:p>
            <w:pPr>
              <w:rPr>
                <w:rFonts w:ascii="宋体"/>
                <w:b/>
                <w:sz w:val="21"/>
              </w:rPr>
            </w:pPr>
            <w:bookmarkStart w:id="9" w:name="办公邮编"/>
            <w:r>
              <w:rPr>
                <w:rFonts w:ascii="宋体"/>
                <w:b/>
                <w:sz w:val="21"/>
              </w:rPr>
              <w:t>073000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0" w:name="生产地址Add"/>
            <w:r>
              <w:rPr>
                <w:rFonts w:ascii="宋体"/>
                <w:b/>
                <w:sz w:val="21"/>
              </w:rPr>
              <w:t>定州市庞村镇西坂村</w:t>
            </w:r>
            <w:bookmarkEnd w:id="10"/>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生产邮编"/>
            <w:r>
              <w:rPr>
                <w:rFonts w:ascii="宋体"/>
                <w:b/>
                <w:sz w:val="21"/>
              </w:rPr>
              <w:t>073000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2" w:name="联系人"/>
            <w:r>
              <w:rPr>
                <w:rFonts w:ascii="宋体"/>
                <w:b/>
                <w:sz w:val="21"/>
              </w:rPr>
              <w:t>韩雪</w:t>
            </w:r>
            <w:bookmarkEnd w:id="12"/>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3" w:name="联系人电话Add"/>
            <w:r>
              <w:rPr>
                <w:rFonts w:ascii="宋体"/>
                <w:b/>
                <w:sz w:val="21"/>
              </w:rPr>
              <w:t>0312-2326156</w:t>
            </w:r>
            <w:bookmarkEnd w:id="13"/>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5" w:name="法人"/>
            <w:r>
              <w:rPr>
                <w:rFonts w:ascii="宋体" w:hAnsi="宋体"/>
                <w:b/>
                <w:sz w:val="21"/>
                <w:szCs w:val="21"/>
              </w:rPr>
              <w:t>朱瑞丰</w:t>
            </w:r>
            <w:bookmarkEnd w:id="15"/>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朱瑞丰</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6" w:name="管理者代表"/>
            <w:r>
              <w:rPr>
                <w:rFonts w:ascii="宋体"/>
                <w:b/>
                <w:sz w:val="21"/>
              </w:rPr>
              <w:t>韩雪</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7" w:name="审核日期"/>
            <w:r>
              <w:rPr>
                <w:rFonts w:ascii="宋体" w:hAnsi="宋体"/>
                <w:b/>
                <w:sz w:val="21"/>
                <w:szCs w:val="21"/>
              </w:rPr>
              <w:t>2020年11月15日 下午至2020年11月16日 下午</w:t>
            </w:r>
            <w:bookmarkEnd w:id="17"/>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b/>
                <w:bCs w:val="0"/>
                <w:sz w:val="21"/>
                <w:szCs w:val="21"/>
              </w:rPr>
            </w:pPr>
            <w:bookmarkStart w:id="18" w:name="Q勾选15Add1"/>
            <w:r>
              <w:rPr>
                <w:rFonts w:hint="eastAsia" w:ascii="宋体" w:hAnsi="宋体"/>
                <w:b/>
                <w:sz w:val="21"/>
                <w:szCs w:val="21"/>
              </w:rPr>
              <w:t>■</w:t>
            </w:r>
            <w:bookmarkEnd w:id="18"/>
            <w:r>
              <w:rPr>
                <w:rFonts w:ascii="宋体" w:hAnsi="宋体"/>
                <w:b/>
                <w:sz w:val="21"/>
                <w:szCs w:val="21"/>
              </w:rPr>
              <w:t>QMS</w:t>
            </w:r>
            <w:r>
              <w:rPr>
                <w:rFonts w:hint="eastAsia" w:ascii="宋体" w:hAnsi="宋体"/>
                <w:b/>
                <w:sz w:val="21"/>
                <w:szCs w:val="21"/>
              </w:rPr>
              <w:t>：</w:t>
            </w:r>
            <w:r>
              <w:rPr>
                <w:rFonts w:hint="eastAsia" w:ascii="宋体" w:hAnsi="宋体"/>
                <w:b/>
                <w:bCs w:val="0"/>
                <w:sz w:val="21"/>
                <w:szCs w:val="21"/>
              </w:rPr>
              <w:sym w:font="Wingdings 2" w:char="00A3"/>
            </w:r>
            <w:r>
              <w:rPr>
                <w:rFonts w:hint="eastAsia" w:ascii="宋体" w:hAnsi="宋体"/>
                <w:b/>
                <w:bCs w:val="0"/>
                <w:sz w:val="21"/>
                <w:szCs w:val="21"/>
              </w:rPr>
              <w:t>5</w:t>
            </w:r>
            <w:r>
              <w:rPr>
                <w:rFonts w:ascii="宋体" w:hAnsi="宋体"/>
                <w:b/>
                <w:bCs w:val="0"/>
                <w:sz w:val="21"/>
                <w:szCs w:val="21"/>
              </w:rPr>
              <w:t>0430</w:t>
            </w:r>
            <w:r>
              <w:rPr>
                <w:rFonts w:hint="eastAsia" w:ascii="宋体" w:hAnsi="宋体"/>
                <w:b/>
                <w:bCs w:val="0"/>
                <w:sz w:val="21"/>
                <w:szCs w:val="21"/>
                <w:lang w:val="en-US" w:eastAsia="zh-CN"/>
              </w:rPr>
              <w:t xml:space="preserve"> </w:t>
            </w:r>
            <w:bookmarkStart w:id="19" w:name="审核范围"/>
            <w:r>
              <w:rPr>
                <w:b/>
                <w:bCs w:val="0"/>
                <w:sz w:val="21"/>
                <w:szCs w:val="21"/>
              </w:rPr>
              <w:t>体育器材、健身器材、音乐美术器材、教学仪器、课桌椅、文件柜、床铺、静态塑胶玩具（桌面玩具）</w:t>
            </w:r>
            <w:r>
              <w:rPr>
                <w:rFonts w:hint="eastAsia"/>
                <w:b/>
                <w:bCs w:val="0"/>
                <w:sz w:val="21"/>
                <w:szCs w:val="21"/>
                <w:lang w:eastAsia="zh-CN"/>
              </w:rPr>
              <w:t>、</w:t>
            </w:r>
            <w:r>
              <w:rPr>
                <w:b/>
                <w:bCs w:val="0"/>
                <w:sz w:val="21"/>
                <w:szCs w:val="21"/>
              </w:rPr>
              <w:t xml:space="preserve"> 户外大型游乐玩具、人造草坪、塑胶跑道的销售</w:t>
            </w:r>
          </w:p>
          <w:p>
            <w:pPr>
              <w:spacing w:line="360" w:lineRule="exact"/>
              <w:rPr>
                <w:b/>
                <w:bCs w:val="0"/>
                <w:sz w:val="21"/>
                <w:szCs w:val="21"/>
              </w:rPr>
            </w:pPr>
            <w:bookmarkStart w:id="20" w:name="E勾选Add1"/>
            <w:r>
              <w:rPr>
                <w:rFonts w:hint="eastAsia" w:ascii="宋体" w:hAnsi="宋体"/>
                <w:b/>
                <w:bCs w:val="0"/>
                <w:sz w:val="21"/>
                <w:szCs w:val="21"/>
              </w:rPr>
              <w:t>■</w:t>
            </w:r>
            <w:bookmarkEnd w:id="20"/>
            <w:r>
              <w:rPr>
                <w:rFonts w:ascii="宋体" w:hAnsi="宋体"/>
                <w:b/>
                <w:bCs w:val="0"/>
                <w:sz w:val="21"/>
                <w:szCs w:val="21"/>
              </w:rPr>
              <w:t>EMS</w:t>
            </w:r>
            <w:r>
              <w:rPr>
                <w:rFonts w:hint="eastAsia" w:ascii="宋体" w:hAnsi="宋体"/>
                <w:b/>
                <w:bCs w:val="0"/>
                <w:sz w:val="21"/>
                <w:szCs w:val="21"/>
              </w:rPr>
              <w:t>：</w:t>
            </w:r>
            <w:r>
              <w:rPr>
                <w:b/>
                <w:bCs w:val="0"/>
                <w:sz w:val="21"/>
                <w:szCs w:val="21"/>
              </w:rPr>
              <w:t>体育器材、健身器材、音乐美术器材、教学仪器、课桌椅、文件柜、床铺、静态塑胶玩具（桌面玩具）</w:t>
            </w:r>
            <w:r>
              <w:rPr>
                <w:rFonts w:hint="eastAsia"/>
                <w:b/>
                <w:bCs w:val="0"/>
                <w:sz w:val="21"/>
                <w:szCs w:val="21"/>
                <w:lang w:eastAsia="zh-CN"/>
              </w:rPr>
              <w:t>、</w:t>
            </w:r>
            <w:r>
              <w:rPr>
                <w:b/>
                <w:bCs w:val="0"/>
                <w:sz w:val="21"/>
                <w:szCs w:val="21"/>
              </w:rPr>
              <w:t xml:space="preserve"> 户外大型游乐玩具、人造草坪、塑胶跑道的销售</w:t>
            </w:r>
            <w:r>
              <w:rPr>
                <w:rFonts w:hint="eastAsia" w:ascii="宋体" w:hAnsi="宋体" w:cs="Times New Roman"/>
                <w:b/>
                <w:bCs w:val="0"/>
                <w:sz w:val="21"/>
                <w:szCs w:val="21"/>
              </w:rPr>
              <w:t>及相关的环境管理活动</w:t>
            </w:r>
          </w:p>
          <w:p>
            <w:pPr>
              <w:spacing w:line="360" w:lineRule="exact"/>
              <w:rPr>
                <w:rFonts w:hint="eastAsia" w:ascii="宋体" w:hAnsi="宋体" w:cs="Times New Roman"/>
                <w:b/>
                <w:bCs w:val="0"/>
                <w:sz w:val="21"/>
                <w:szCs w:val="21"/>
              </w:rPr>
            </w:pPr>
            <w:bookmarkStart w:id="21" w:name="S勾选Add2"/>
            <w:r>
              <w:rPr>
                <w:rFonts w:hint="eastAsia" w:ascii="宋体" w:hAnsi="宋体"/>
                <w:b/>
                <w:bCs w:val="0"/>
                <w:sz w:val="21"/>
                <w:szCs w:val="21"/>
              </w:rPr>
              <w:t>■</w:t>
            </w:r>
            <w:bookmarkEnd w:id="21"/>
            <w:r>
              <w:rPr>
                <w:rFonts w:ascii="宋体" w:hAnsi="宋体"/>
                <w:b/>
                <w:bCs w:val="0"/>
                <w:sz w:val="21"/>
                <w:szCs w:val="21"/>
              </w:rPr>
              <w:t>OHSMS</w:t>
            </w:r>
            <w:r>
              <w:rPr>
                <w:rFonts w:hint="eastAsia" w:ascii="宋体" w:hAnsi="宋体"/>
                <w:b/>
                <w:bCs w:val="0"/>
                <w:sz w:val="21"/>
                <w:szCs w:val="21"/>
              </w:rPr>
              <w:t>：</w:t>
            </w:r>
            <w:r>
              <w:rPr>
                <w:b/>
                <w:bCs w:val="0"/>
                <w:sz w:val="21"/>
                <w:szCs w:val="21"/>
              </w:rPr>
              <w:t>体育器材、健身器材、音乐美术器材、教学仪器、课桌椅、文件柜、床铺、静态塑胶玩具（桌面玩具）</w:t>
            </w:r>
            <w:r>
              <w:rPr>
                <w:rFonts w:hint="eastAsia"/>
                <w:b/>
                <w:bCs w:val="0"/>
                <w:sz w:val="21"/>
                <w:szCs w:val="21"/>
                <w:lang w:eastAsia="zh-CN"/>
              </w:rPr>
              <w:t>、</w:t>
            </w:r>
            <w:r>
              <w:rPr>
                <w:b/>
                <w:bCs w:val="0"/>
                <w:sz w:val="21"/>
                <w:szCs w:val="21"/>
              </w:rPr>
              <w:t xml:space="preserve"> 户外大型游乐玩具、人造草坪、塑胶跑道的销售</w:t>
            </w:r>
            <w:bookmarkEnd w:id="19"/>
            <w:r>
              <w:rPr>
                <w:rFonts w:hint="eastAsia" w:ascii="宋体" w:hAnsi="宋体" w:cs="Times New Roman"/>
                <w:b/>
                <w:bCs w:val="0"/>
                <w:sz w:val="21"/>
                <w:szCs w:val="21"/>
              </w:rPr>
              <w:t>及相关的职业健康安全管理活动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2" w:name="专业代码"/>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2"/>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2022年10月15日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b/>
                <w:sz w:val="20"/>
              </w:rPr>
              <w:t>2019年10月04</w:t>
            </w:r>
            <w:r>
              <w:rPr>
                <w:rFonts w:hint="eastAsia"/>
                <w:b/>
                <w:sz w:val="20"/>
                <w:lang w:val="en-US" w:eastAsia="zh-CN"/>
              </w:rPr>
              <w:t>日---</w:t>
            </w:r>
            <w:r>
              <w:rPr>
                <w:rFonts w:hint="eastAsia"/>
                <w:b/>
                <w:sz w:val="20"/>
              </w:rPr>
              <w:t>07日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470" w:firstLineChars="223"/>
        <w:rPr>
          <w:rFonts w:hint="eastAsia"/>
          <w:b/>
          <w:sz w:val="26"/>
          <w:szCs w:val="26"/>
        </w:rPr>
      </w:pPr>
      <w:r>
        <w:rPr>
          <w:rFonts w:hint="eastAsia" w:ascii="宋体" w:hAnsi="宋体"/>
          <w:b/>
          <w:sz w:val="21"/>
          <w:szCs w:val="21"/>
          <w:lang w:val="en-US" w:eastAsia="zh-CN"/>
        </w:rPr>
        <w:t>六、</w:t>
      </w:r>
      <w:r>
        <w:rPr>
          <w:rFonts w:hint="eastAsia"/>
          <w:b/>
          <w:sz w:val="26"/>
          <w:szCs w:val="26"/>
        </w:rPr>
        <w:t>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240" w:lineRule="exact"/>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hint="eastAsia" w:eastAsia="宋体"/>
                <w:b/>
                <w:color w:val="000000" w:themeColor="text1"/>
                <w:sz w:val="21"/>
                <w:szCs w:val="21"/>
                <w:lang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numPr>
                <w:ilvl w:val="0"/>
                <w:numId w:val="1"/>
              </w:numPr>
              <w:spacing w:line="240" w:lineRule="exact"/>
              <w:rPr>
                <w:rFonts w:hint="eastAsia"/>
                <w:b/>
                <w:color w:val="000000" w:themeColor="text1"/>
                <w:sz w:val="21"/>
                <w:szCs w:val="21"/>
              </w:rPr>
            </w:pPr>
            <w:r>
              <w:rPr>
                <w:rFonts w:hint="eastAsia"/>
                <w:b/>
                <w:color w:val="000000" w:themeColor="text1"/>
                <w:sz w:val="21"/>
                <w:szCs w:val="21"/>
              </w:rPr>
              <w:t>相关方需求和期望识别情况</w:t>
            </w:r>
          </w:p>
          <w:p>
            <w:pPr>
              <w:numPr>
                <w:ilvl w:val="0"/>
                <w:numId w:val="0"/>
              </w:numPr>
              <w:spacing w:line="240" w:lineRule="exact"/>
              <w:rPr>
                <w:rFonts w:hint="eastAsia" w:eastAsia="宋体"/>
                <w:b/>
                <w:color w:val="000000" w:themeColor="text1"/>
                <w:sz w:val="21"/>
                <w:szCs w:val="21"/>
                <w:lang w:eastAsia="zh-CN"/>
              </w:rPr>
            </w:pPr>
            <w:r>
              <w:rPr>
                <w:rFonts w:hint="eastAsia"/>
                <w:sz w:val="21"/>
                <w:szCs w:val="21"/>
              </w:rPr>
              <w:t>公司确定了与质量</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管理体系有关的相关方包括顾客、政府机构、社区、股东、供应商、内部员工等。相关方对企业的要求有：遵守国家的现行法律法规、保持有效的资质、生产的产品节能环保，对环境无重大污染、</w:t>
            </w:r>
            <w:r>
              <w:rPr>
                <w:rFonts w:hint="eastAsia"/>
                <w:sz w:val="21"/>
                <w:szCs w:val="21"/>
                <w:lang w:val="en-US" w:eastAsia="zh-CN"/>
              </w:rPr>
              <w:t>对员工进行体检</w:t>
            </w:r>
            <w:r>
              <w:rPr>
                <w:rFonts w:hint="eastAsia"/>
                <w:sz w:val="21"/>
                <w:szCs w:val="21"/>
              </w:rPr>
              <w:t>、不断提高技术水平以及不断提高客户满意度等。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pacing w:val="-10"/>
                <w:sz w:val="21"/>
                <w:szCs w:val="21"/>
                <w:lang w:eastAsia="zh-CN"/>
              </w:rPr>
              <w:t>☑</w:t>
            </w:r>
            <w:r>
              <w:rPr>
                <w:rFonts w:hint="eastAsia" w:ascii="宋体" w:hAnsi="宋体"/>
                <w:b/>
                <w:color w:val="000000" w:themeColor="text1"/>
                <w:sz w:val="21"/>
                <w:szCs w:val="21"/>
              </w:rPr>
              <w:t>质量/</w:t>
            </w:r>
            <w:r>
              <w:rPr>
                <w:rFonts w:hint="eastAsia"/>
                <w:b/>
                <w:color w:val="000000" w:themeColor="text1"/>
                <w:spacing w:val="-10"/>
                <w:sz w:val="21"/>
                <w:szCs w:val="21"/>
                <w:lang w:eastAsia="zh-CN"/>
              </w:rPr>
              <w:t>☑</w:t>
            </w:r>
            <w:r>
              <w:rPr>
                <w:rFonts w:hint="eastAsia" w:ascii="宋体" w:hAnsi="宋体"/>
                <w:b/>
                <w:color w:val="000000" w:themeColor="text1"/>
                <w:sz w:val="21"/>
                <w:szCs w:val="21"/>
              </w:rPr>
              <w:t>环境/</w:t>
            </w:r>
            <w:r>
              <w:rPr>
                <w:rFonts w:hint="eastAsia"/>
                <w:b/>
                <w:color w:val="000000" w:themeColor="text1"/>
                <w:spacing w:val="-10"/>
                <w:sz w:val="21"/>
                <w:szCs w:val="21"/>
                <w:lang w:eastAsia="zh-CN"/>
              </w:rPr>
              <w:t>☑</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rPr>
                <w:rFonts w:hint="eastAsia" w:eastAsia="宋体"/>
                <w:sz w:val="21"/>
                <w:szCs w:val="21"/>
                <w:lang w:val="en-US" w:eastAsia="zh-CN"/>
              </w:rPr>
            </w:pPr>
            <w:r>
              <w:rPr>
                <w:sz w:val="21"/>
                <w:szCs w:val="21"/>
              </w:rPr>
              <w:t>1.</w:t>
            </w:r>
            <w:r>
              <w:rPr>
                <w:rFonts w:hint="eastAsia" w:cs="宋体"/>
                <w:sz w:val="21"/>
                <w:szCs w:val="21"/>
              </w:rPr>
              <w:t>管理方针：科学管理，遵守法规，预防污染，持续改进，为社会及员工提供一个健康、安全的工作生活环境，提供用户满意的优质产品，创国内一流品牌</w:t>
            </w:r>
            <w:r>
              <w:rPr>
                <w:rFonts w:hint="eastAsia" w:cs="宋体"/>
                <w:sz w:val="21"/>
                <w:szCs w:val="21"/>
                <w:lang w:val="en-US" w:eastAsia="zh-CN"/>
              </w:rPr>
              <w:t>.</w:t>
            </w:r>
          </w:p>
          <w:p>
            <w:pPr>
              <w:rPr>
                <w:sz w:val="21"/>
                <w:szCs w:val="21"/>
              </w:rPr>
            </w:pPr>
            <w:r>
              <w:rPr>
                <w:sz w:val="21"/>
                <w:szCs w:val="21"/>
              </w:rPr>
              <w:t xml:space="preserve">2. </w:t>
            </w:r>
            <w:r>
              <w:rPr>
                <w:rFonts w:hint="eastAsia" w:cs="宋体"/>
                <w:sz w:val="21"/>
                <w:szCs w:val="21"/>
              </w:rPr>
              <w:t>管理方针与企业的经营宗旨相适应，协调；</w:t>
            </w:r>
          </w:p>
          <w:p>
            <w:pPr>
              <w:spacing w:line="240" w:lineRule="exact"/>
              <w:rPr>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numPr>
                <w:ilvl w:val="0"/>
                <w:numId w:val="0"/>
              </w:numPr>
              <w:spacing w:line="240" w:lineRule="exact"/>
              <w:ind w:leftChars="0"/>
              <w:rPr>
                <w:rFonts w:hint="eastAsia"/>
                <w:b/>
                <w:color w:val="000000" w:themeColor="text1"/>
                <w:sz w:val="21"/>
                <w:szCs w:val="21"/>
              </w:rPr>
            </w:pPr>
            <w:r>
              <w:rPr>
                <w:rFonts w:hint="eastAsia"/>
                <w:b/>
                <w:color w:val="000000" w:themeColor="text1"/>
                <w:sz w:val="21"/>
                <w:szCs w:val="21"/>
                <w:lang w:val="en-US" w:eastAsia="zh-CN"/>
              </w:rPr>
              <w:t>4.</w:t>
            </w:r>
            <w:r>
              <w:rPr>
                <w:rFonts w:hint="eastAsia"/>
                <w:b/>
                <w:color w:val="000000" w:themeColor="text1"/>
                <w:sz w:val="21"/>
                <w:szCs w:val="21"/>
              </w:rPr>
              <w:t>风险识别与控制策划（QMS）</w:t>
            </w:r>
          </w:p>
          <w:p>
            <w:pPr>
              <w:numPr>
                <w:ilvl w:val="0"/>
                <w:numId w:val="0"/>
              </w:numPr>
              <w:spacing w:line="240" w:lineRule="exact"/>
              <w:ind w:leftChars="0"/>
              <w:rPr>
                <w:rFonts w:hint="eastAsia" w:eastAsia="宋体"/>
                <w:b/>
                <w:color w:val="000000" w:themeColor="text1"/>
                <w:sz w:val="21"/>
                <w:szCs w:val="21"/>
                <w:lang w:eastAsia="zh-CN"/>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分别从顾客过程、公司内部、外部供方等方面</w:t>
            </w:r>
            <w:r>
              <w:rPr>
                <w:rFonts w:hint="eastAsia"/>
                <w:sz w:val="21"/>
                <w:szCs w:val="21"/>
              </w:rPr>
              <w:t>识别了必要的风险和机遇，如：方针和目标变更的需求，产品标准变更，原材料变更，工艺变更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如针对</w:t>
            </w:r>
            <w:r>
              <w:rPr>
                <w:rFonts w:hint="eastAsia"/>
                <w:sz w:val="21"/>
                <w:szCs w:val="21"/>
                <w:lang w:eastAsia="zh-CN"/>
              </w:rPr>
              <w:t>顾客需求</w:t>
            </w:r>
            <w:r>
              <w:rPr>
                <w:rFonts w:hint="eastAsia"/>
                <w:sz w:val="21"/>
                <w:szCs w:val="21"/>
              </w:rPr>
              <w:t>的变更，由</w:t>
            </w:r>
            <w:r>
              <w:rPr>
                <w:rFonts w:hint="eastAsia"/>
                <w:sz w:val="21"/>
                <w:szCs w:val="21"/>
                <w:lang w:eastAsia="zh-CN"/>
              </w:rPr>
              <w:t>市场部紧密与客户沟通</w:t>
            </w:r>
            <w:r>
              <w:rPr>
                <w:rFonts w:hint="eastAsia"/>
                <w:sz w:val="21"/>
                <w:szCs w:val="21"/>
              </w:rPr>
              <w:t>，是否有更新的需求</w:t>
            </w:r>
            <w:r>
              <w:rPr>
                <w:rFonts w:hint="eastAsia"/>
                <w:sz w:val="21"/>
                <w:szCs w:val="21"/>
                <w:lang w:eastAsia="zh-CN"/>
              </w:rPr>
              <w:t>，</w:t>
            </w:r>
            <w:r>
              <w:rPr>
                <w:rFonts w:hint="eastAsia"/>
                <w:sz w:val="21"/>
                <w:szCs w:val="21"/>
                <w:lang w:val="en-US" w:eastAsia="zh-CN"/>
              </w:rPr>
              <w:t>经查</w:t>
            </w:r>
            <w:r>
              <w:rPr>
                <w:rFonts w:hint="eastAsia"/>
                <w:sz w:val="21"/>
                <w:szCs w:val="21"/>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u w:val="single"/>
              </w:rPr>
              <w:t xml:space="preserve">  </w:t>
            </w:r>
            <w:r>
              <w:rPr>
                <w:rFonts w:hint="eastAsia" w:ascii="宋体" w:hAnsi="宋体"/>
                <w:b/>
                <w:color w:val="000000" w:themeColor="text1"/>
                <w:sz w:val="21"/>
                <w:szCs w:val="21"/>
                <w:u w:val="single"/>
                <w:lang w:val="en-US" w:eastAsia="zh-CN"/>
              </w:rPr>
              <w:t>采购、业务洽谈</w:t>
            </w:r>
            <w:r>
              <w:rPr>
                <w:rFonts w:hint="eastAsia" w:ascii="宋体" w:hAnsi="宋体"/>
                <w:b/>
                <w:color w:val="000000" w:themeColor="text1"/>
                <w:sz w:val="21"/>
                <w:szCs w:val="21"/>
                <w:u w:val="single"/>
              </w:rPr>
              <w:t xml:space="preserve">  ，</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需要确认过程</w:t>
            </w: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销售服务</w:t>
            </w:r>
            <w:r>
              <w:rPr>
                <w:rFonts w:hint="eastAsia" w:ascii="宋体" w:hAnsi="宋体"/>
                <w:b/>
                <w:color w:val="000000" w:themeColor="text1"/>
                <w:sz w:val="21"/>
                <w:szCs w:val="21"/>
              </w:rPr>
              <w:t xml:space="preserve">  </w:t>
            </w:r>
          </w:p>
          <w:p>
            <w:pPr>
              <w:tabs>
                <w:tab w:val="left" w:pos="540"/>
              </w:tabs>
              <w:spacing w:line="300" w:lineRule="exact"/>
              <w:ind w:left="201" w:hanging="211" w:hangingChars="100"/>
              <w:rPr>
                <w:rFonts w:ascii="宋体" w:hAnsi="宋体"/>
                <w:b/>
                <w:color w:val="000000" w:themeColor="text1"/>
                <w:sz w:val="21"/>
                <w:szCs w:val="21"/>
              </w:rPr>
            </w:pPr>
            <w:r>
              <w:rPr>
                <w:b/>
                <w:color w:val="000000" w:themeColor="text1"/>
                <w:sz w:val="21"/>
                <w:szCs w:val="21"/>
              </w:rPr>
              <w:pict>
                <v:shape id="_x0000_s2051" o:spid="_x0000_s2051"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2" o:spid="_x0000_s2052"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不适用条款是</w:t>
            </w:r>
            <w:r>
              <w:rPr>
                <w:rFonts w:hint="default" w:ascii="Times New Roman" w:hAnsi="Times New Roman" w:cs="Times New Roman"/>
                <w:b w:val="0"/>
                <w:bCs/>
                <w:color w:val="000000" w:themeColor="text1"/>
                <w:sz w:val="21"/>
                <w:szCs w:val="21"/>
              </w:rPr>
              <w:t xml:space="preserve">  </w:t>
            </w:r>
            <w:r>
              <w:rPr>
                <w:rFonts w:hint="eastAsia" w:ascii="Times New Roman" w:hAnsi="Times New Roman" w:cs="Times New Roman"/>
                <w:b w:val="0"/>
                <w:bCs/>
                <w:color w:val="000000" w:themeColor="text1"/>
                <w:sz w:val="21"/>
                <w:szCs w:val="21"/>
                <w:lang w:val="en-US" w:eastAsia="zh-CN"/>
              </w:rPr>
              <w:t>Q</w:t>
            </w:r>
            <w:r>
              <w:rPr>
                <w:rFonts w:hint="default" w:ascii="Times New Roman" w:hAnsi="Times New Roman" w:cs="Times New Roman"/>
                <w:b w:val="0"/>
                <w:bCs/>
                <w:color w:val="000000" w:themeColor="text1"/>
                <w:sz w:val="21"/>
                <w:szCs w:val="21"/>
              </w:rPr>
              <w:t xml:space="preserve"> </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1"/>
                <w:szCs w:val="21"/>
              </w:rPr>
              <w:t xml:space="preserve"> ，不适用理由：</w:t>
            </w:r>
            <w:r>
              <w:rPr>
                <w:rFonts w:hint="eastAsia"/>
                <w:sz w:val="21"/>
                <w:szCs w:val="21"/>
                <w:u w:val="single"/>
              </w:rPr>
              <w:t>公司产品和服务特点，</w:t>
            </w:r>
            <w:r>
              <w:rPr>
                <w:rFonts w:hint="eastAsia"/>
                <w:sz w:val="21"/>
                <w:szCs w:val="21"/>
                <w:u w:val="single"/>
                <w:lang w:eastAsia="zh-CN"/>
              </w:rPr>
              <w:t>产品依据国标、行业标准、客户要求进行</w:t>
            </w:r>
            <w:r>
              <w:rPr>
                <w:rFonts w:hint="eastAsia"/>
                <w:sz w:val="21"/>
                <w:szCs w:val="21"/>
                <w:u w:val="single"/>
                <w:lang w:val="en-US" w:eastAsia="zh-CN"/>
              </w:rPr>
              <w:t>销售</w:t>
            </w:r>
            <w:r>
              <w:rPr>
                <w:rFonts w:hint="eastAsia"/>
                <w:sz w:val="21"/>
                <w:szCs w:val="21"/>
                <w:u w:val="single"/>
                <w:lang w:eastAsia="zh-CN"/>
              </w:rPr>
              <w:t>，</w:t>
            </w:r>
            <w:r>
              <w:rPr>
                <w:rFonts w:hint="eastAsia"/>
                <w:sz w:val="21"/>
                <w:szCs w:val="21"/>
                <w:u w:val="single"/>
                <w:lang w:val="en-US" w:eastAsia="zh-CN"/>
              </w:rPr>
              <w:t>销售模式固定</w:t>
            </w:r>
            <w:r>
              <w:rPr>
                <w:rFonts w:hint="eastAsia"/>
                <w:sz w:val="21"/>
                <w:szCs w:val="21"/>
                <w:u w:val="single"/>
                <w:lang w:eastAsia="zh-CN"/>
              </w:rPr>
              <w:t>，无设计开发要求。</w:t>
            </w:r>
            <w:r>
              <w:rPr>
                <w:rFonts w:hint="eastAsia" w:ascii="宋体" w:hAnsi="宋体"/>
                <w:b/>
                <w:color w:val="000000" w:themeColor="text1"/>
                <w:sz w:val="21"/>
                <w:szCs w:val="21"/>
                <w:u w:val="single"/>
              </w:rPr>
              <w:t xml:space="preserve">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rPr>
                <w:rFonts w:hint="eastAsia" w:eastAsia="宋体"/>
                <w:b/>
                <w:color w:val="000000" w:themeColor="text1"/>
                <w:sz w:val="21"/>
                <w:szCs w:val="21"/>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hint="eastAsia"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rPr>
                <w:rFonts w:hint="eastAsia" w:ascii="宋体" w:hAnsi="宋体" w:eastAsia="宋体"/>
                <w:b/>
                <w:color w:val="000000" w:themeColor="text1"/>
                <w:spacing w:val="-8"/>
                <w:sz w:val="21"/>
                <w:szCs w:val="21"/>
                <w:lang w:eastAsia="zh-CN"/>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sz w:val="21"/>
                <w:szCs w:val="21"/>
              </w:rPr>
              <w:t>不可接受风险</w:t>
            </w:r>
            <w:r>
              <w:rPr>
                <w:rFonts w:hint="eastAsia"/>
                <w:sz w:val="21"/>
                <w:szCs w:val="21"/>
                <w:lang w:eastAsia="zh-CN"/>
              </w:rPr>
              <w:t>为</w:t>
            </w:r>
            <w:r>
              <w:rPr>
                <w:rFonts w:hint="eastAsia"/>
                <w:sz w:val="21"/>
                <w:szCs w:val="21"/>
              </w:rPr>
              <w:t>火灾、触电</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lang w:val="en-US" w:eastAsia="zh-CN"/>
              </w:rPr>
              <w:t>8</w:t>
            </w:r>
            <w:r>
              <w:rPr>
                <w:rFonts w:hint="eastAsia"/>
                <w:b/>
                <w:color w:val="000000" w:themeColor="text1"/>
                <w:sz w:val="21"/>
                <w:szCs w:val="21"/>
              </w:rPr>
              <w:t xml:space="preserve">. </w:t>
            </w:r>
            <w:r>
              <w:rPr>
                <w:rFonts w:hint="eastAsia" w:ascii="宋体" w:hAnsi="宋体"/>
                <w:b/>
                <w:color w:val="000000" w:themeColor="text1"/>
                <w:spacing w:val="-4"/>
                <w:sz w:val="21"/>
                <w:szCs w:val="21"/>
              </w:rPr>
              <w:t>法律法规及其他要求</w:t>
            </w:r>
          </w:p>
          <w:p>
            <w:pPr>
              <w:pStyle w:val="13"/>
              <w:numPr>
                <w:ilvl w:val="0"/>
                <w:numId w:val="2"/>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环境因素</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w:t>
            </w:r>
            <w:r>
              <w:rPr>
                <w:rFonts w:hint="eastAsia" w:ascii="宋体" w:hAnsi="宋体"/>
                <w:b/>
                <w:color w:val="000000" w:themeColor="text1"/>
                <w:sz w:val="21"/>
                <w:szCs w:val="21"/>
                <w:lang w:val="en-US" w:eastAsia="zh-CN"/>
              </w:rPr>
              <w:t>培训</w:t>
            </w:r>
          </w:p>
          <w:p>
            <w:pPr>
              <w:pStyle w:val="13"/>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r>
              <w:rPr>
                <w:rFonts w:hint="eastAsia" w:ascii="宋体" w:hAnsi="宋体"/>
                <w:b/>
                <w:color w:val="000000" w:themeColor="text1"/>
                <w:sz w:val="21"/>
                <w:szCs w:val="21"/>
                <w:lang w:eastAsia="zh-CN"/>
              </w:rPr>
              <w:t>。</w:t>
            </w:r>
          </w:p>
          <w:p>
            <w:pPr>
              <w:tabs>
                <w:tab w:val="left" w:pos="0"/>
              </w:tabs>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lang w:val="en-US" w:eastAsia="zh-CN"/>
              </w:rPr>
              <w:t>9</w:t>
            </w:r>
            <w:r>
              <w:rPr>
                <w:rFonts w:hint="eastAsia"/>
                <w:b/>
                <w:color w:val="000000" w:themeColor="text1"/>
                <w:sz w:val="21"/>
                <w:szCs w:val="21"/>
              </w:rPr>
              <w:t xml:space="preserve">. </w:t>
            </w:r>
            <w:r>
              <w:rPr>
                <w:rFonts w:hint="eastAsia" w:ascii="宋体" w:hAnsi="宋体"/>
                <w:b/>
                <w:color w:val="000000" w:themeColor="text1"/>
                <w:sz w:val="21"/>
                <w:szCs w:val="21"/>
              </w:rPr>
              <w:t>目标、方案</w:t>
            </w: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240" w:lineRule="exact"/>
              <w:rPr>
                <w:rFonts w:hint="eastAsia" w:ascii="Times New Roman" w:hAnsi="Times New Roman" w:cs="宋体"/>
                <w:sz w:val="21"/>
                <w:szCs w:val="21"/>
                <w:lang w:eastAsia="zh-CN"/>
              </w:rPr>
            </w:pPr>
            <w:r>
              <w:rPr>
                <w:rFonts w:hint="eastAsia" w:ascii="Times New Roman" w:hAnsi="Times New Roman" w:cs="宋体"/>
                <w:sz w:val="21"/>
                <w:szCs w:val="21"/>
              </w:rPr>
              <w:t>公司质量目标：成品一次交验合格率≥95%</w:t>
            </w:r>
            <w:r>
              <w:rPr>
                <w:rFonts w:hint="eastAsia" w:cs="宋体"/>
                <w:sz w:val="21"/>
                <w:szCs w:val="21"/>
                <w:lang w:eastAsia="zh-CN"/>
              </w:rPr>
              <w:t>，</w:t>
            </w:r>
            <w:r>
              <w:rPr>
                <w:rFonts w:hint="eastAsia" w:ascii="Times New Roman" w:hAnsi="Times New Roman" w:cs="宋体"/>
                <w:sz w:val="21"/>
                <w:szCs w:val="21"/>
              </w:rPr>
              <w:t>顾客满意度≥95</w:t>
            </w:r>
            <w:r>
              <w:rPr>
                <w:rFonts w:hint="eastAsia" w:cs="宋体"/>
                <w:sz w:val="21"/>
                <w:szCs w:val="21"/>
                <w:lang w:val="en-US" w:eastAsia="zh-CN"/>
              </w:rPr>
              <w:t>%</w:t>
            </w:r>
            <w:r>
              <w:rPr>
                <w:rFonts w:hint="eastAsia" w:ascii="Times New Roman" w:hAnsi="Times New Roman" w:cs="宋体"/>
                <w:sz w:val="21"/>
                <w:szCs w:val="21"/>
              </w:rPr>
              <w:t>；环保安全目标：固废分类处置率100%</w:t>
            </w:r>
            <w:r>
              <w:rPr>
                <w:rFonts w:hint="eastAsia" w:cs="宋体"/>
                <w:sz w:val="21"/>
                <w:szCs w:val="21"/>
                <w:lang w:eastAsia="zh-CN"/>
              </w:rPr>
              <w:t>，</w:t>
            </w:r>
            <w:r>
              <w:rPr>
                <w:rFonts w:hint="eastAsia" w:ascii="Times New Roman" w:hAnsi="Times New Roman" w:cs="宋体"/>
                <w:sz w:val="21"/>
                <w:szCs w:val="21"/>
              </w:rPr>
              <w:t>轻伤事故少于3起/年</w:t>
            </w:r>
            <w:r>
              <w:rPr>
                <w:rFonts w:hint="eastAsia" w:cs="宋体"/>
                <w:sz w:val="21"/>
                <w:szCs w:val="21"/>
                <w:lang w:eastAsia="zh-CN"/>
              </w:rPr>
              <w:t>，</w:t>
            </w:r>
            <w:r>
              <w:rPr>
                <w:rFonts w:hint="eastAsia" w:ascii="Times New Roman" w:hAnsi="Times New Roman" w:cs="宋体"/>
                <w:sz w:val="21"/>
                <w:szCs w:val="21"/>
              </w:rPr>
              <w:t>无火灾及重大安全事故发生</w:t>
            </w:r>
            <w:r>
              <w:rPr>
                <w:rFonts w:hint="eastAsia" w:cs="宋体"/>
                <w:sz w:val="21"/>
                <w:szCs w:val="21"/>
                <w:lang w:eastAsia="zh-CN"/>
              </w:rPr>
              <w:t>，</w:t>
            </w:r>
            <w:r>
              <w:rPr>
                <w:rFonts w:hint="eastAsia" w:ascii="Times New Roman" w:hAnsi="Times New Roman" w:cs="宋体"/>
                <w:sz w:val="21"/>
                <w:szCs w:val="21"/>
              </w:rPr>
              <w:t>无职业病发生。</w:t>
            </w:r>
          </w:p>
          <w:p>
            <w:pPr>
              <w:spacing w:line="240" w:lineRule="exact"/>
              <w:rPr>
                <w:rFonts w:ascii="宋体" w:hAnsi="宋体"/>
                <w:b/>
                <w:color w:val="000000" w:themeColor="text1"/>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考核一次，提供</w:t>
            </w:r>
            <w:r>
              <w:rPr>
                <w:rFonts w:hint="eastAsia" w:ascii="Times New Roman" w:hAnsi="Times New Roman" w:cs="宋体"/>
                <w:sz w:val="21"/>
                <w:szCs w:val="21"/>
                <w:lang w:val="en-US" w:eastAsia="zh-CN"/>
              </w:rPr>
              <w:t>2020年1-</w:t>
            </w:r>
            <w:r>
              <w:rPr>
                <w:rFonts w:hint="eastAsia" w:cs="宋体"/>
                <w:sz w:val="21"/>
                <w:szCs w:val="21"/>
                <w:lang w:val="en-US" w:eastAsia="zh-CN"/>
              </w:rPr>
              <w:t>3</w:t>
            </w:r>
            <w:r>
              <w:rPr>
                <w:rFonts w:hint="eastAsia" w:ascii="Times New Roman" w:hAnsi="Times New Roman" w:cs="宋体"/>
                <w:sz w:val="21"/>
                <w:szCs w:val="21"/>
                <w:lang w:val="en-US" w:eastAsia="zh-CN"/>
              </w:rPr>
              <w:t>季度目标考核记录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lang w:val="en-US" w:eastAsia="zh-CN"/>
              </w:rPr>
              <w:t>10</w:t>
            </w:r>
            <w:r>
              <w:rPr>
                <w:rFonts w:hint="eastAsia"/>
                <w:b/>
                <w:color w:val="000000" w:themeColor="text1"/>
                <w:sz w:val="21"/>
                <w:szCs w:val="21"/>
              </w:rPr>
              <w:t>.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spacing w:line="240" w:lineRule="exact"/>
              <w:rPr>
                <w:rFonts w:ascii="宋体" w:hAnsi="宋体"/>
                <w:b/>
                <w:color w:val="000000" w:themeColor="text1"/>
                <w:sz w:val="21"/>
                <w:szCs w:val="21"/>
              </w:rPr>
            </w:pPr>
            <w:r>
              <w:rPr>
                <w:rFonts w:hint="eastAsia" w:ascii="Times New Roman" w:hAnsi="Times New Roman" w:cs="宋体"/>
                <w:sz w:val="21"/>
                <w:szCs w:val="21"/>
              </w:rPr>
              <w:t>管理体系文件由</w:t>
            </w:r>
            <w:r>
              <w:rPr>
                <w:rFonts w:hint="eastAsia" w:ascii="Times New Roman" w:hAnsi="Times New Roman" w:cs="宋体"/>
                <w:sz w:val="21"/>
                <w:szCs w:val="21"/>
                <w:lang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ascii="Times New Roman" w:hAnsi="Times New Roman" w:cs="宋体"/>
                <w:sz w:val="21"/>
                <w:szCs w:val="21"/>
                <w:lang w:eastAsia="zh-CN"/>
              </w:rPr>
              <w:t>办公室</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00" w:lineRule="exact"/>
              <w:rPr>
                <w:b/>
                <w:color w:val="000000" w:themeColor="text1"/>
                <w:sz w:val="21"/>
                <w:szCs w:val="21"/>
              </w:rPr>
            </w:pPr>
            <w:r>
              <w:rPr>
                <w:rFonts w:hint="eastAsia" w:ascii="宋体" w:hAnsi="宋体"/>
                <w:b/>
                <w:color w:val="000000" w:themeColor="text1"/>
                <w:sz w:val="21"/>
                <w:szCs w:val="21"/>
                <w:lang w:val="en-US" w:eastAsia="zh-CN"/>
              </w:rPr>
              <w:t>1.</w:t>
            </w: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spacing w:line="300" w:lineRule="exact"/>
              <w:rPr>
                <w:rFonts w:hint="eastAsia" w:ascii="宋体" w:hAnsi="宋体" w:eastAsia="宋体"/>
                <w:b/>
                <w:color w:val="000000" w:themeColor="text1"/>
                <w:sz w:val="21"/>
                <w:szCs w:val="21"/>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rPr>
              <w:t>设备设施（包括信息系统）</w:t>
            </w:r>
          </w:p>
          <w:p>
            <w:pPr>
              <w:spacing w:line="240" w:lineRule="exact"/>
              <w:rPr>
                <w:rFonts w:ascii="宋体" w:hAnsi="宋体"/>
                <w:b/>
                <w:color w:val="000000" w:themeColor="text1"/>
                <w:sz w:val="21"/>
                <w:szCs w:val="21"/>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rPr>
              <w:t>过程运行环境</w:t>
            </w:r>
          </w:p>
          <w:p>
            <w:pPr>
              <w:spacing w:line="240" w:lineRule="exact"/>
              <w:rPr>
                <w:rFonts w:hint="eastAsia" w:ascii="宋体" w:hAnsi="宋体" w:eastAsia="宋体"/>
                <w:b/>
                <w:color w:val="000000" w:themeColor="text1"/>
                <w:sz w:val="21"/>
                <w:szCs w:val="21"/>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hint="eastAsia"/>
                <w:sz w:val="21"/>
                <w:szCs w:val="21"/>
                <w:lang w:eastAsia="zh-CN"/>
              </w:rPr>
              <w:t>河北省定州市兴定路172号安源大厦705室</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hint="eastAsia" w:ascii="宋体" w:hAnsi="宋体"/>
                <w:b/>
                <w:color w:val="000000" w:themeColor="text1"/>
                <w:sz w:val="21"/>
                <w:szCs w:val="21"/>
              </w:rPr>
            </w:pP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rPr>
              <w:t>监视和测量资源</w:t>
            </w:r>
          </w:p>
          <w:p>
            <w:pPr>
              <w:spacing w:line="240" w:lineRule="exact"/>
              <w:rPr>
                <w:rFonts w:hint="eastAsia" w:ascii="宋体" w:hAnsi="宋体"/>
                <w:b/>
                <w:color w:val="000000" w:themeColor="text1"/>
                <w:sz w:val="21"/>
                <w:szCs w:val="21"/>
              </w:rPr>
            </w:pPr>
            <w:r>
              <w:rPr>
                <w:rFonts w:hint="eastAsia"/>
                <w:sz w:val="21"/>
                <w:szCs w:val="21"/>
                <w:lang w:eastAsia="zh-CN"/>
              </w:rPr>
              <w:t>产品性能由供方进行检验，组织对服务质量进行检查、对顾客满意度进行调查，制定了对应表格</w:t>
            </w: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lang w:val="en-US" w:eastAsia="zh-CN"/>
              </w:rPr>
              <w:t>5.</w:t>
            </w:r>
            <w:r>
              <w:rPr>
                <w:rFonts w:hint="eastAsia" w:ascii="宋体" w:hAnsi="宋体"/>
                <w:b/>
                <w:color w:val="000000" w:themeColor="text1"/>
                <w:sz w:val="21"/>
                <w:szCs w:val="21"/>
              </w:rPr>
              <w:t>知识</w:t>
            </w:r>
          </w:p>
          <w:p>
            <w:pPr>
              <w:spacing w:line="240" w:lineRule="exact"/>
              <w:rPr>
                <w:rFonts w:hint="eastAsia" w:ascii="宋体" w:hAnsi="宋体" w:eastAsia="宋体"/>
                <w:b/>
                <w:color w:val="000000" w:themeColor="text1"/>
                <w:sz w:val="21"/>
                <w:szCs w:val="21"/>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劳动保护用品管理规定、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GB/T19001-2016《质量管理体系 要求》、GB/T24001-2016《环境管理体系 要求及使用指南》、GB/T28001-2011《职业健康安全管理体系 要求》等法规要求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6.</w:t>
            </w:r>
            <w:r>
              <w:rPr>
                <w:rFonts w:hint="eastAsia" w:ascii="宋体" w:hAnsi="宋体"/>
                <w:b/>
                <w:color w:val="000000" w:themeColor="text1"/>
                <w:sz w:val="21"/>
                <w:szCs w:val="21"/>
              </w:rPr>
              <w:t>环保设施：</w:t>
            </w:r>
            <w:r>
              <w:rPr>
                <w:rFonts w:hint="eastAsia" w:ascii="宋体" w:hAnsi="宋体"/>
                <w:b/>
                <w:color w:val="000000" w:themeColor="text1"/>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7.</w:t>
            </w:r>
            <w:r>
              <w:rPr>
                <w:rFonts w:hint="eastAsia" w:ascii="宋体" w:hAnsi="宋体"/>
                <w:b/>
                <w:color w:val="000000" w:themeColor="text1"/>
                <w:sz w:val="21"/>
                <w:szCs w:val="21"/>
              </w:rPr>
              <w:t>职业健康安全设施：</w:t>
            </w:r>
            <w:r>
              <w:rPr>
                <w:rFonts w:hint="eastAsia" w:ascii="宋体" w:hAnsi="宋体"/>
                <w:b/>
                <w:color w:val="000000" w:themeColor="text1"/>
                <w:sz w:val="21"/>
                <w:szCs w:val="21"/>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rFonts w:hint="eastAsia"/>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rPr>
                <w:rFonts w:hint="eastAsia" w:eastAsia="宋体"/>
                <w:sz w:val="21"/>
                <w:szCs w:val="21"/>
                <w:lang w:eastAsia="zh-CN"/>
              </w:rPr>
            </w:pPr>
            <w:r>
              <w:rPr>
                <w:sz w:val="21"/>
                <w:szCs w:val="21"/>
              </w:rPr>
              <w:t>1.</w:t>
            </w:r>
            <w:r>
              <w:rPr>
                <w:rFonts w:hint="eastAsia" w:cs="宋体"/>
                <w:sz w:val="21"/>
                <w:szCs w:val="21"/>
              </w:rPr>
              <w:t>管理方针：科学管理，遵守法规，预防污染，持续改进，为社会及员工提供一个健康、安全的工作生活环境，提供用户满意的优质产品，创国内一流品牌</w:t>
            </w:r>
            <w:r>
              <w:rPr>
                <w:rFonts w:hint="eastAsia" w:cs="宋体"/>
                <w:sz w:val="21"/>
                <w:szCs w:val="21"/>
                <w:lang w:eastAsia="zh-CN"/>
              </w:rPr>
              <w:t>。</w:t>
            </w:r>
          </w:p>
          <w:p>
            <w:pPr>
              <w:rPr>
                <w:sz w:val="21"/>
                <w:szCs w:val="21"/>
              </w:rPr>
            </w:pPr>
            <w:r>
              <w:rPr>
                <w:sz w:val="21"/>
                <w:szCs w:val="21"/>
              </w:rPr>
              <w:t xml:space="preserve">2. </w:t>
            </w:r>
            <w:r>
              <w:rPr>
                <w:rFonts w:hint="eastAsia" w:cs="宋体"/>
                <w:sz w:val="21"/>
                <w:szCs w:val="21"/>
              </w:rPr>
              <w:t>管理方针与企业的经营宗旨相适应，协调；</w:t>
            </w:r>
          </w:p>
          <w:p>
            <w:pPr>
              <w:spacing w:line="300" w:lineRule="exact"/>
              <w:ind w:left="1"/>
              <w:rPr>
                <w:rFonts w:hint="eastAsia"/>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sz w:val="21"/>
                <w:szCs w:val="21"/>
              </w:rPr>
              <w:t>文件、会议、电话、面谈等方式进行内部沟通</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ascii="宋体" w:hAnsi="宋体"/>
                <w:sz w:val="21"/>
                <w:szCs w:val="21"/>
              </w:rPr>
              <w:t>沟通较为顺畅</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Times New Roman"/>
                <w:sz w:val="21"/>
                <w:szCs w:val="21"/>
                <w:lang w:val="en-US" w:eastAsia="zh-CN"/>
              </w:rPr>
              <w:t>对顾客回访，进行满意度调查。</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楷体_GB2312" w:eastAsia="楷体_GB2312"/>
                <w:b/>
                <w:color w:val="000000" w:themeColor="text1"/>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w:t>
            </w:r>
            <w:r>
              <w:rPr>
                <w:rFonts w:hint="eastAsia" w:ascii="宋体" w:hAnsi="宋体"/>
                <w:b w:val="0"/>
                <w:bCs/>
                <w:sz w:val="21"/>
                <w:szCs w:val="21"/>
              </w:rPr>
              <w:t>查</w:t>
            </w:r>
            <w:r>
              <w:rPr>
                <w:rFonts w:hint="eastAsia" w:ascii="宋体" w:hAnsi="宋体"/>
                <w:b w:val="0"/>
                <w:bCs/>
                <w:sz w:val="21"/>
                <w:szCs w:val="21"/>
                <w:lang w:val="en-US" w:eastAsia="zh-CN"/>
              </w:rPr>
              <w:t>采购</w:t>
            </w:r>
            <w:r>
              <w:rPr>
                <w:rFonts w:hint="eastAsia" w:ascii="宋体" w:hAnsi="宋体"/>
                <w:b w:val="0"/>
                <w:bCs/>
                <w:sz w:val="21"/>
                <w:szCs w:val="21"/>
              </w:rPr>
              <w:t>部未提供给相关方告知的</w:t>
            </w:r>
            <w:r>
              <w:rPr>
                <w:rFonts w:hint="eastAsia" w:ascii="宋体" w:hAnsi="宋体"/>
                <w:b w:val="0"/>
                <w:bCs/>
                <w:sz w:val="21"/>
                <w:szCs w:val="21"/>
                <w:lang w:val="en-US" w:eastAsia="zh-CN"/>
              </w:rPr>
              <w:t>相关证实</w:t>
            </w:r>
            <w:r>
              <w:rPr>
                <w:rFonts w:hint="eastAsia" w:ascii="宋体" w:hAnsi="宋体"/>
                <w:b w:val="0"/>
                <w:bCs/>
                <w:sz w:val="21"/>
                <w:szCs w:val="21"/>
              </w:rPr>
              <w:t>，</w:t>
            </w:r>
            <w:r>
              <w:rPr>
                <w:rFonts w:hint="eastAsia" w:ascii="宋体" w:hAnsi="宋体"/>
                <w:b w:val="0"/>
                <w:bCs/>
                <w:sz w:val="21"/>
                <w:szCs w:val="21"/>
                <w:lang w:val="en-US" w:eastAsia="zh-CN"/>
              </w:rPr>
              <w:t>开具一般不符合1项</w:t>
            </w:r>
            <w:r>
              <w:rPr>
                <w:rFonts w:hint="eastAsia" w:ascii="Times New Roman" w:hAnsi="Times New Roman" w:cs="Times New Roman"/>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1.产品和服务要求（投标及合同管理）：主要根据顾客提出的产品要求/标书中明示产品要求/产品执行的技术指标等进行控制，严格按要求进行了合同评审—确保能满足客户需求，控制情况较好。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2.采购过程控制：首先编制采购产品验收规范、采购产品检验规程等作业文件规定采购产品质量要求；其次对供方进行了评价，</w:t>
            </w:r>
            <w:r>
              <w:rPr>
                <w:rFonts w:hint="eastAsia"/>
                <w:sz w:val="21"/>
                <w:szCs w:val="21"/>
                <w:lang w:val="en-US" w:eastAsia="zh-CN"/>
              </w:rPr>
              <w:t>对供方包括外包方的评价全面，控制符合要求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ascii="宋体" w:hAnsi="宋体"/>
                <w:sz w:val="21"/>
                <w:szCs w:val="21"/>
                <w:lang w:val="en-GB"/>
              </w:rPr>
              <w:t>通过市场调研或网络调查，与顾客洽谈产品型号</w:t>
            </w:r>
            <w:r>
              <w:rPr>
                <w:rFonts w:hint="eastAsia" w:ascii="宋体" w:hAnsi="宋体"/>
                <w:sz w:val="21"/>
                <w:szCs w:val="21"/>
              </w:rPr>
              <w:t>/数量/价格等信息，与顾客签订合同，进行合同评审，进行售前/售中/售后服务，通过合同评审表，评审内容有交货期/价格/产品质量要求等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4.销售过程：公司与产品有关的要求主要体现在标书、合同及相关法律法规及标准中。</w:t>
            </w:r>
            <w:r>
              <w:rPr>
                <w:rFonts w:hint="eastAsia" w:ascii="宋体" w:cs="宋体"/>
                <w:sz w:val="21"/>
                <w:szCs w:val="21"/>
              </w:rPr>
              <w:t>一般通过电话、老客户介绍、招投标等方式进行销售。在签订正式合同前，由供销部组织进行合同评审，签订合同后，组织生产及时与客户沟通，按时交付。</w:t>
            </w:r>
            <w:r>
              <w:rPr>
                <w:rFonts w:hint="eastAsia"/>
                <w:sz w:val="21"/>
                <w:szCs w:val="21"/>
              </w:rPr>
              <w:t>收集顾客对产品的反馈信息，开展顾客满意度调查，包括顾客抱怨和投诉，体系建立以来未发生顾客投诉事件。</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5.不合格品控制情况评价：在产品进货检验中出现的不合格可进行退货处理，在产品交付后出现不合格可进行换货或退货处理；出厂的产品均为合格品，至今客户反馈无质量问题。</w:t>
            </w:r>
          </w:p>
          <w:p>
            <w:pPr>
              <w:pStyle w:val="15"/>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1"/>
                <w:szCs w:val="21"/>
                <w:lang w:eastAsia="zh-CN"/>
              </w:rPr>
            </w:pPr>
            <w:r>
              <w:rPr>
                <w:rFonts w:hint="eastAsia"/>
                <w:sz w:val="21"/>
                <w:szCs w:val="21"/>
              </w:rPr>
              <w:t>6.变更的控制：销售合同评审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300" w:lineRule="exact"/>
              <w:rPr>
                <w:rFonts w:hint="default" w:eastAsia="宋体"/>
                <w:b/>
                <w:color w:val="000000" w:themeColor="text1"/>
                <w:sz w:val="21"/>
                <w:szCs w:val="21"/>
                <w:lang w:val="en-US" w:eastAsia="zh-CN"/>
              </w:rPr>
            </w:pPr>
            <w:r>
              <w:rPr>
                <w:rFonts w:hint="eastAsia"/>
                <w:b/>
                <w:color w:val="000000" w:themeColor="text1"/>
                <w:sz w:val="21"/>
                <w:szCs w:val="21"/>
                <w:lang w:val="en-US" w:eastAsia="zh-CN"/>
              </w:rPr>
              <w:t>主要满足客户要求，目前向顾客提供的产品均合格，提供有客户验收记录。由于疫情等原因，今年的提供是的销售合同未能完全覆盖其认证范围。下次监督审核予以重点关注和审核。</w:t>
            </w:r>
          </w:p>
          <w:p>
            <w:pPr>
              <w:spacing w:line="240" w:lineRule="exact"/>
              <w:rPr>
                <w:b/>
                <w:color w:val="000000" w:themeColor="text1"/>
                <w:sz w:val="21"/>
                <w:szCs w:val="21"/>
              </w:rPr>
            </w:pPr>
          </w:p>
          <w:p>
            <w:pPr>
              <w:spacing w:line="240" w:lineRule="exact"/>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240" w:lineRule="exact"/>
              <w:ind w:firstLine="211" w:firstLineChars="100"/>
              <w:rPr>
                <w:b/>
                <w:color w:val="000000" w:themeColor="text1"/>
                <w:sz w:val="21"/>
                <w:szCs w:val="21"/>
              </w:rPr>
            </w:pPr>
          </w:p>
          <w:p>
            <w:pPr>
              <w:spacing w:line="240" w:lineRule="exact"/>
              <w:ind w:firstLine="211" w:firstLineChars="100"/>
              <w:rPr>
                <w:rFonts w:hint="default"/>
                <w:b/>
                <w:color w:val="000000" w:themeColor="text1"/>
                <w:sz w:val="21"/>
                <w:szCs w:val="21"/>
                <w:lang w:val="en-US" w:eastAsia="zh-CN"/>
              </w:rPr>
            </w:pPr>
            <w:r>
              <w:rPr>
                <w:rFonts w:hint="eastAsia"/>
                <w:b/>
                <w:color w:val="000000" w:themeColor="text1"/>
                <w:sz w:val="21"/>
                <w:szCs w:val="21"/>
                <w:lang w:val="en-US" w:eastAsia="zh-CN"/>
              </w:rPr>
              <w:t>无</w:t>
            </w:r>
          </w:p>
          <w:p>
            <w:pPr>
              <w:spacing w:line="300" w:lineRule="exact"/>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rFonts w:hint="eastAsia" w:eastAsia="宋体"/>
                <w:b/>
                <w:color w:val="000000" w:themeColor="text1"/>
                <w:sz w:val="21"/>
                <w:szCs w:val="21"/>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240" w:lineRule="exact"/>
              <w:rPr>
                <w:rFonts w:hint="default" w:eastAsia="宋体"/>
                <w:b/>
                <w:color w:val="000000" w:themeColor="text1"/>
                <w:sz w:val="21"/>
                <w:szCs w:val="21"/>
                <w:lang w:val="en-US" w:eastAsia="zh-CN"/>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w:t>
            </w:r>
            <w:r>
              <w:rPr>
                <w:rFonts w:hint="eastAsia"/>
                <w:sz w:val="21"/>
                <w:szCs w:val="21"/>
                <w:lang w:val="en-US" w:eastAsia="zh-CN"/>
              </w:rPr>
              <w:t>无安全隐患</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numPr>
                <w:ilvl w:val="0"/>
                <w:numId w:val="3"/>
              </w:numPr>
              <w:spacing w:line="240" w:lineRule="exact"/>
              <w:rPr>
                <w:rFonts w:hint="eastAsia"/>
                <w:b/>
                <w:color w:val="000000" w:themeColor="text1"/>
                <w:sz w:val="21"/>
                <w:szCs w:val="21"/>
              </w:rPr>
            </w:pPr>
            <w:r>
              <w:rPr>
                <w:rFonts w:hint="eastAsia"/>
                <w:b/>
                <w:color w:val="000000" w:themeColor="text1"/>
                <w:sz w:val="21"/>
                <w:szCs w:val="21"/>
              </w:rPr>
              <w:t>OHSMS组织对不可接受风险实施控制的结果</w:t>
            </w:r>
          </w:p>
          <w:p>
            <w:pPr>
              <w:numPr>
                <w:ilvl w:val="0"/>
                <w:numId w:val="0"/>
              </w:numPr>
              <w:spacing w:line="240" w:lineRule="exact"/>
              <w:rPr>
                <w:rFonts w:hint="eastAsia"/>
                <w:b/>
                <w:color w:val="000000" w:themeColor="text1"/>
                <w:sz w:val="21"/>
                <w:szCs w:val="21"/>
              </w:rPr>
            </w:pPr>
            <w:r>
              <w:rPr>
                <w:rFonts w:hint="eastAsia"/>
                <w:sz w:val="21"/>
                <w:szCs w:val="21"/>
                <w:lang w:val="en-GB"/>
              </w:rPr>
              <w:t>编制环境、职业健康安全运行控制程序，对相关方施加影响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、相关方施加影响等进行控制，具体措施有对员工进行安全教育，发放劳保用品，对相关方进行告知，现场查看办公区域干净整洁，</w:t>
            </w:r>
            <w:r>
              <w:rPr>
                <w:rFonts w:hint="eastAsia"/>
                <w:sz w:val="21"/>
                <w:szCs w:val="21"/>
                <w:lang w:val="en-US" w:eastAsia="zh-CN"/>
              </w:rPr>
              <w:t>无安全隐患</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hint="default"/>
                <w:b/>
                <w:color w:val="000000" w:themeColor="text1"/>
                <w:spacing w:val="-4"/>
                <w:sz w:val="21"/>
                <w:szCs w:val="21"/>
                <w:lang w:val="en-US"/>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10. 对特种设备的维护，检定; </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hint="eastAsia"/>
                <w:b/>
                <w:color w:val="000000" w:themeColor="text1"/>
                <w:sz w:val="21"/>
                <w:szCs w:val="21"/>
              </w:rPr>
            </w:pPr>
            <w:r>
              <w:rPr>
                <w:rFonts w:hint="eastAsia"/>
                <w:b/>
                <w:color w:val="000000" w:themeColor="text1"/>
                <w:sz w:val="21"/>
                <w:szCs w:val="21"/>
              </w:rPr>
              <w:t>11 .对危险化学品销售、使用、储存、运输处置，规定的执行力度(必要时);</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p>
          <w:p>
            <w:pPr>
              <w:spacing w:line="240" w:lineRule="exact"/>
              <w:rPr>
                <w:rFonts w:hint="eastAsia" w:eastAsia="宋体"/>
                <w:b/>
                <w:color w:val="000000" w:themeColor="text1"/>
                <w:sz w:val="21"/>
                <w:szCs w:val="21"/>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w:t>
            </w:r>
            <w:r>
              <w:rPr>
                <w:rFonts w:hint="eastAsia"/>
                <w:sz w:val="21"/>
                <w:szCs w:val="21"/>
                <w:lang w:val="en-US" w:eastAsia="zh-CN"/>
              </w:rPr>
              <w:t>QEO</w:t>
            </w:r>
            <w:r>
              <w:rPr>
                <w:rFonts w:hint="eastAsia"/>
                <w:sz w:val="21"/>
                <w:szCs w:val="21"/>
              </w:rPr>
              <w:t>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numPr>
                <w:ilvl w:val="0"/>
                <w:numId w:val="4"/>
              </w:numPr>
              <w:spacing w:line="240" w:lineRule="exact"/>
              <w:ind w:left="100" w:hanging="105" w:hangingChars="50"/>
              <w:rPr>
                <w:rFonts w:hint="eastAsia"/>
                <w:b/>
                <w:color w:val="000000" w:themeColor="text1"/>
                <w:sz w:val="21"/>
                <w:szCs w:val="21"/>
              </w:rPr>
            </w:pPr>
            <w:r>
              <w:rPr>
                <w:rFonts w:hint="eastAsia"/>
                <w:b/>
                <w:color w:val="000000" w:themeColor="text1"/>
                <w:sz w:val="21"/>
                <w:szCs w:val="21"/>
              </w:rPr>
              <w:t>顾客满意</w:t>
            </w:r>
          </w:p>
          <w:p>
            <w:pPr>
              <w:spacing w:line="240" w:lineRule="exact"/>
              <w:rPr>
                <w:rFonts w:hint="eastAsia"/>
                <w:b/>
                <w:color w:val="000000" w:themeColor="text1"/>
                <w:sz w:val="21"/>
                <w:szCs w:val="21"/>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达到目标值要求</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3. 内审（包括内审策划审核方案中考虑拟审核的过程和区域的状况和重要性）</w:t>
            </w:r>
          </w:p>
          <w:p>
            <w:pPr>
              <w:spacing w:line="240" w:lineRule="exact"/>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按照策划的安排于</w:t>
            </w:r>
            <w:r>
              <w:rPr>
                <w:color w:val="000000" w:themeColor="text1"/>
                <w:sz w:val="21"/>
                <w:szCs w:val="21"/>
                <w14:textFill>
                  <w14:solidFill>
                    <w14:schemeClr w14:val="tx1"/>
                  </w14:solidFill>
                </w14:textFill>
              </w:rPr>
              <w:t>20</w:t>
            </w:r>
            <w:r>
              <w:rPr>
                <w:rFonts w:hint="eastAsia"/>
                <w:color w:val="000000" w:themeColor="text1"/>
                <w:sz w:val="21"/>
                <w:szCs w:val="21"/>
                <w:lang w:val="en-US" w:eastAsia="zh-CN"/>
                <w14:textFill>
                  <w14:solidFill>
                    <w14:schemeClr w14:val="tx1"/>
                  </w14:solidFill>
                </w14:textFill>
              </w:rPr>
              <w:t>20年6月21-22日</w:t>
            </w:r>
            <w:r>
              <w:rPr>
                <w:rFonts w:hint="eastAsia"/>
                <w:color w:val="000000" w:themeColor="text1"/>
                <w:sz w:val="21"/>
                <w:szCs w:val="21"/>
                <w14:textFill>
                  <w14:solidFill>
                    <w14:schemeClr w14:val="tx1"/>
                  </w14:solidFill>
                </w14:textFill>
              </w:rPr>
              <w:t>进行了一次集中式的内部审核，经查阅资料及与管代沟通，内审员没有审核自己的工作，查阅内审记录，符合策划安排，提出2项不符合，责任部门进行了分析原因、采取纠正/纠正措施并验证了有效性，内审报告中对管理体系的符合性、充分性和运行有效性进行了评价。</w:t>
            </w:r>
            <w:r>
              <w:rPr>
                <w:b w:val="0"/>
                <w:bCs/>
                <w:sz w:val="21"/>
                <w:szCs w:val="21"/>
              </w:rPr>
              <w:t>内审的有效性需得到公司管理层重视</w:t>
            </w:r>
            <w:r>
              <w:rPr>
                <w:rFonts w:hint="eastAsia"/>
                <w:b w:val="0"/>
                <w:bCs/>
                <w:sz w:val="21"/>
                <w:szCs w:val="21"/>
              </w:rPr>
              <w:t>，内审记录的可追溯性较差</w:t>
            </w:r>
            <w:r>
              <w:rPr>
                <w:rFonts w:hint="eastAsia"/>
                <w:b w:val="0"/>
                <w:bCs/>
                <w:sz w:val="21"/>
                <w:szCs w:val="21"/>
                <w:lang w:eastAsia="zh-CN"/>
              </w:rPr>
              <w:t>，</w:t>
            </w:r>
            <w:r>
              <w:rPr>
                <w:rFonts w:hint="eastAsia"/>
                <w:b w:val="0"/>
                <w:bCs/>
                <w:sz w:val="21"/>
                <w:szCs w:val="21"/>
                <w:lang w:val="en-US" w:eastAsia="zh-CN"/>
              </w:rPr>
              <w:t>已交流</w:t>
            </w:r>
            <w:r>
              <w:rPr>
                <w:rFonts w:hint="eastAsia"/>
                <w:b w:val="0"/>
                <w:bCs/>
                <w:sz w:val="21"/>
                <w:szCs w:val="21"/>
              </w:rPr>
              <w:t>。</w:t>
            </w:r>
            <w:r>
              <w:rPr>
                <w:rFonts w:hint="eastAsia"/>
                <w:b w:val="0"/>
                <w:bCs/>
                <w:color w:val="000000" w:themeColor="text1"/>
                <w:sz w:val="21"/>
                <w:szCs w:val="21"/>
                <w14:textFill>
                  <w14:solidFill>
                    <w14:schemeClr w14:val="tx1"/>
                  </w14:solidFill>
                </w14:textFill>
              </w:rPr>
              <w:t>内审</w:t>
            </w:r>
            <w:r>
              <w:rPr>
                <w:rFonts w:hint="eastAsia"/>
                <w:b w:val="0"/>
                <w:bCs/>
                <w:color w:val="000000" w:themeColor="text1"/>
                <w:sz w:val="21"/>
                <w:szCs w:val="21"/>
                <w:lang w:val="en-US" w:eastAsia="zh-CN"/>
                <w14:textFill>
                  <w14:solidFill>
                    <w14:schemeClr w14:val="tx1"/>
                  </w14:solidFill>
                </w14:textFill>
              </w:rPr>
              <w:t>基本</w:t>
            </w:r>
            <w:r>
              <w:rPr>
                <w:rFonts w:hint="eastAsia"/>
                <w:b w:val="0"/>
                <w:bCs/>
                <w:color w:val="000000" w:themeColor="text1"/>
                <w:sz w:val="21"/>
                <w:szCs w:val="21"/>
                <w14:textFill>
                  <w14:solidFill>
                    <w14:schemeClr w14:val="tx1"/>
                  </w14:solidFill>
                </w14:textFill>
              </w:rPr>
              <w:t>符合要求</w:t>
            </w:r>
            <w:r>
              <w:rPr>
                <w:rFonts w:hint="eastAsia"/>
                <w:b w:val="0"/>
                <w:bCs/>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4.管理评审（管理评审体系变更需求，纠正和预防措施、体系有效性等）</w:t>
            </w:r>
          </w:p>
          <w:p>
            <w:pPr>
              <w:spacing w:line="240" w:lineRule="exact"/>
              <w:rPr>
                <w:rFonts w:hint="eastAsia" w:eastAsia="宋体"/>
                <w:b/>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按照策划的安排于</w:t>
            </w:r>
            <w:r>
              <w:rPr>
                <w:color w:val="000000" w:themeColor="text1"/>
                <w:sz w:val="21"/>
                <w:szCs w:val="21"/>
                <w14:textFill>
                  <w14:solidFill>
                    <w14:schemeClr w14:val="tx1"/>
                  </w14:solidFill>
                </w14:textFill>
              </w:rPr>
              <w:t>20</w:t>
            </w:r>
            <w:r>
              <w:rPr>
                <w:rFonts w:hint="eastAsia"/>
                <w:color w:val="000000" w:themeColor="text1"/>
                <w:sz w:val="21"/>
                <w:szCs w:val="21"/>
                <w:lang w:val="en-US" w:eastAsia="zh-CN"/>
                <w14:textFill>
                  <w14:solidFill>
                    <w14:schemeClr w14:val="tx1"/>
                  </w14:solidFill>
                </w14:textFill>
              </w:rPr>
              <w:t>20</w:t>
            </w:r>
            <w:r>
              <w:rPr>
                <w:rFonts w:hint="eastAsia" w:cs="宋体"/>
                <w:color w:val="000000" w:themeColor="text1"/>
                <w:sz w:val="21"/>
                <w:szCs w:val="21"/>
                <w14:textFill>
                  <w14:solidFill>
                    <w14:schemeClr w14:val="tx1"/>
                  </w14:solidFill>
                </w14:textFill>
              </w:rPr>
              <w:t>年</w:t>
            </w:r>
            <w:r>
              <w:rPr>
                <w:rFonts w:hint="eastAsia" w:cs="宋体"/>
                <w:color w:val="000000" w:themeColor="text1"/>
                <w:sz w:val="21"/>
                <w:szCs w:val="21"/>
                <w:lang w:val="en-US" w:eastAsia="zh-CN"/>
                <w14:textFill>
                  <w14:solidFill>
                    <w14:schemeClr w14:val="tx1"/>
                  </w14:solidFill>
                </w14:textFill>
              </w:rPr>
              <w:t>7</w:t>
            </w:r>
            <w:r>
              <w:rPr>
                <w:rFonts w:hint="eastAsia" w:cs="宋体"/>
                <w:color w:val="000000" w:themeColor="text1"/>
                <w:sz w:val="21"/>
                <w:szCs w:val="21"/>
                <w14:textFill>
                  <w14:solidFill>
                    <w14:schemeClr w14:val="tx1"/>
                  </w14:solidFill>
                </w14:textFill>
              </w:rPr>
              <w:t>月</w:t>
            </w:r>
            <w:r>
              <w:rPr>
                <w:rFonts w:hint="eastAsia" w:cs="宋体"/>
                <w:color w:val="000000" w:themeColor="text1"/>
                <w:sz w:val="21"/>
                <w:szCs w:val="21"/>
                <w:lang w:val="en-US" w:eastAsia="zh-CN"/>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0</w:t>
            </w:r>
            <w:r>
              <w:rPr>
                <w:rFonts w:hint="eastAsia" w:cs="宋体"/>
                <w:color w:val="000000" w:themeColor="text1"/>
                <w:sz w:val="21"/>
                <w:szCs w:val="21"/>
                <w14:textFill>
                  <w14:solidFill>
                    <w14:schemeClr w14:val="tx1"/>
                  </w14:solidFill>
                </w14:textFill>
              </w:rPr>
              <w:t>日</w:t>
            </w:r>
            <w:r>
              <w:rPr>
                <w:rFonts w:hint="eastAsia"/>
                <w:color w:val="000000" w:themeColor="text1"/>
                <w:sz w:val="21"/>
                <w:szCs w:val="21"/>
                <w14:textFill>
                  <w14:solidFill>
                    <w14:schemeClr w14:val="tx1"/>
                  </w14:solidFill>
                </w14:textFill>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w:t>
            </w:r>
            <w:r>
              <w:rPr>
                <w:rFonts w:hint="eastAsia"/>
                <w:color w:val="000000" w:themeColor="text1"/>
                <w:sz w:val="21"/>
                <w:szCs w:val="21"/>
                <w:lang w:val="en-US" w:eastAsia="zh-CN"/>
                <w14:textFill>
                  <w14:solidFill>
                    <w14:schemeClr w14:val="tx1"/>
                  </w14:solidFill>
                </w14:textFill>
              </w:rPr>
              <w:t>上一年度管理评审时间</w:t>
            </w:r>
            <w:r>
              <w:rPr>
                <w:color w:val="000000" w:themeColor="text1"/>
                <w:sz w:val="21"/>
                <w:szCs w:val="21"/>
                <w14:textFill>
                  <w14:solidFill>
                    <w14:schemeClr w14:val="tx1"/>
                  </w14:solidFill>
                </w14:textFill>
              </w:rPr>
              <w:t>2019</w:t>
            </w:r>
            <w:r>
              <w:rPr>
                <w:rFonts w:hint="eastAsia" w:cs="宋体"/>
                <w:color w:val="000000" w:themeColor="text1"/>
                <w:sz w:val="21"/>
                <w:szCs w:val="21"/>
                <w14:textFill>
                  <w14:solidFill>
                    <w14:schemeClr w14:val="tx1"/>
                  </w14:solidFill>
                </w14:textFill>
              </w:rPr>
              <w:t>年</w:t>
            </w:r>
            <w:r>
              <w:rPr>
                <w:rFonts w:hint="eastAsia" w:cs="宋体"/>
                <w:color w:val="000000" w:themeColor="text1"/>
                <w:sz w:val="21"/>
                <w:szCs w:val="21"/>
                <w:lang w:val="en-US" w:eastAsia="zh-CN"/>
                <w14:textFill>
                  <w14:solidFill>
                    <w14:schemeClr w14:val="tx1"/>
                  </w14:solidFill>
                </w14:textFill>
              </w:rPr>
              <w:t>8</w:t>
            </w:r>
            <w:r>
              <w:rPr>
                <w:rFonts w:hint="eastAsia" w:cs="宋体"/>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30</w:t>
            </w:r>
            <w:r>
              <w:rPr>
                <w:rFonts w:hint="eastAsia" w:cs="宋体"/>
                <w:color w:val="000000" w:themeColor="text1"/>
                <w:sz w:val="21"/>
                <w:szCs w:val="21"/>
                <w14:textFill>
                  <w14:solidFill>
                    <w14:schemeClr w14:val="tx1"/>
                  </w14:solidFill>
                </w14:textFill>
              </w:rPr>
              <w:t>日</w:t>
            </w:r>
            <w:r>
              <w:rPr>
                <w:rFonts w:hint="eastAsia" w:cs="宋体"/>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管理评审</w:t>
            </w:r>
            <w:r>
              <w:rPr>
                <w:rFonts w:hint="eastAsia"/>
                <w:color w:val="000000" w:themeColor="text1"/>
                <w:sz w:val="21"/>
                <w:szCs w:val="21"/>
                <w:lang w:val="en-US" w:eastAsia="zh-CN"/>
                <w14:textFill>
                  <w14:solidFill>
                    <w14:schemeClr w14:val="tx1"/>
                  </w14:solidFill>
                </w14:textFill>
              </w:rPr>
              <w:t>基本</w:t>
            </w:r>
            <w:r>
              <w:rPr>
                <w:rFonts w:hint="eastAsia"/>
                <w:color w:val="000000" w:themeColor="text1"/>
                <w:sz w:val="21"/>
                <w:szCs w:val="21"/>
                <w14:textFill>
                  <w14:solidFill>
                    <w14:schemeClr w14:val="tx1"/>
                  </w14:solidFill>
                </w14:textFill>
              </w:rPr>
              <w:t>符合要求</w:t>
            </w:r>
            <w:r>
              <w:rPr>
                <w:rFonts w:hint="eastAsia"/>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numPr>
                <w:ilvl w:val="0"/>
                <w:numId w:val="5"/>
              </w:numPr>
              <w:spacing w:line="240" w:lineRule="exact"/>
              <w:rPr>
                <w:rFonts w:hint="eastAsia"/>
                <w:b/>
                <w:color w:val="000000" w:themeColor="text1"/>
                <w:sz w:val="21"/>
                <w:szCs w:val="21"/>
              </w:rPr>
            </w:pPr>
            <w:r>
              <w:rPr>
                <w:rFonts w:hint="eastAsia"/>
                <w:b/>
                <w:color w:val="000000" w:themeColor="text1"/>
                <w:sz w:val="21"/>
                <w:szCs w:val="21"/>
              </w:rPr>
              <w:t xml:space="preserve"> EMS是否按规定对主要污染物（污水、废气、噪声、废渣等）及排放实施了例行的监视或测量，结果是否满足相关要求？</w:t>
            </w:r>
          </w:p>
          <w:p>
            <w:pPr>
              <w:numPr>
                <w:ilvl w:val="0"/>
                <w:numId w:val="0"/>
              </w:numPr>
              <w:spacing w:line="240" w:lineRule="exact"/>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spacing w:line="240" w:lineRule="exact"/>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00" w:lineRule="exact"/>
              <w:rPr>
                <w:b/>
                <w:color w:val="000000" w:themeColor="text1"/>
                <w:sz w:val="21"/>
                <w:szCs w:val="21"/>
              </w:rPr>
            </w:pPr>
            <w:r>
              <w:rPr>
                <w:rFonts w:hint="eastAsia"/>
                <w:b w:val="0"/>
                <w:bCs/>
                <w:color w:val="000000" w:themeColor="text1"/>
                <w:sz w:val="21"/>
                <w:szCs w:val="21"/>
                <w:lang w:val="en-US" w:eastAsia="zh-CN"/>
              </w:rPr>
              <w:t>无特殊要求，对员工进行了健康体检，显示人员健康情况无重大疾病。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numPr>
                <w:ilvl w:val="0"/>
                <w:numId w:val="6"/>
              </w:numPr>
              <w:spacing w:line="240" w:lineRule="exact"/>
              <w:rPr>
                <w:rFonts w:hint="eastAsia"/>
                <w:b/>
                <w:color w:val="000000" w:themeColor="text1"/>
                <w:sz w:val="21"/>
                <w:szCs w:val="21"/>
              </w:rPr>
            </w:pPr>
            <w:r>
              <w:rPr>
                <w:rFonts w:hint="eastAsia"/>
                <w:b/>
                <w:color w:val="000000" w:themeColor="text1"/>
                <w:sz w:val="21"/>
                <w:szCs w:val="21"/>
              </w:rPr>
              <w:t>其他能够标明组织绩效、信誉的证据/信息：</w:t>
            </w:r>
          </w:p>
          <w:p>
            <w:pPr>
              <w:widowControl/>
              <w:numPr>
                <w:ilvl w:val="0"/>
                <w:numId w:val="0"/>
              </w:numPr>
              <w:spacing w:line="240" w:lineRule="exact"/>
              <w:rPr>
                <w:rFonts w:hint="default" w:eastAsia="宋体"/>
                <w:b/>
                <w:color w:val="000000" w:themeColor="text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240" w:lineRule="exact"/>
              <w:rPr>
                <w:b/>
                <w:color w:val="000000" w:themeColor="text1"/>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b/>
                <w:color w:val="000000" w:themeColor="text1"/>
                <w:sz w:val="21"/>
                <w:szCs w:val="21"/>
              </w:rPr>
              <w:t xml:space="preserve">3. </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default" w:eastAsia="宋体"/>
                <w:b/>
                <w:color w:val="000000" w:themeColor="text1"/>
                <w:spacing w:val="-20"/>
                <w:sz w:val="21"/>
                <w:szCs w:val="21"/>
                <w:lang w:val="en-US" w:eastAsia="zh-CN"/>
              </w:rPr>
            </w:pPr>
            <w:r>
              <w:rPr>
                <w:rFonts w:hint="eastAsia"/>
                <w:b/>
                <w:color w:val="000000" w:themeColor="text1"/>
                <w:spacing w:val="-2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7"/>
              </w:numPr>
              <w:spacing w:line="240" w:lineRule="exact"/>
              <w:rPr>
                <w:rFonts w:hint="eastAsia"/>
                <w:b/>
                <w:color w:val="000000" w:themeColor="text1"/>
                <w:sz w:val="21"/>
                <w:szCs w:val="21"/>
              </w:rPr>
            </w:pPr>
            <w:r>
              <w:rPr>
                <w:rFonts w:hint="eastAsia"/>
                <w:b/>
                <w:color w:val="000000" w:themeColor="text1"/>
                <w:sz w:val="21"/>
                <w:szCs w:val="21"/>
              </w:rPr>
              <w:t>创新情况</w:t>
            </w:r>
          </w:p>
          <w:p>
            <w:pPr>
              <w:numPr>
                <w:ilvl w:val="0"/>
                <w:numId w:val="0"/>
              </w:numPr>
              <w:spacing w:line="240" w:lineRule="exact"/>
              <w:rPr>
                <w:rFonts w:hint="default" w:eastAsia="宋体"/>
                <w:b/>
                <w:color w:val="000000" w:themeColor="text1"/>
                <w:sz w:val="21"/>
                <w:szCs w:val="21"/>
                <w:lang w:val="en-US" w:eastAsia="zh-CN"/>
              </w:rPr>
            </w:pPr>
            <w:r>
              <w:rPr>
                <w:rFonts w:hint="eastAsia"/>
                <w:b/>
                <w:color w:val="000000" w:themeColor="text1"/>
                <w:sz w:val="21"/>
                <w:szCs w:val="21"/>
                <w:lang w:val="en-US" w:eastAsia="zh-CN"/>
              </w:rPr>
              <w:t>积极开展新的销售模式。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5. 上次不符合的整改情况（再认证填写）</w:t>
            </w:r>
          </w:p>
        </w:tc>
      </w:tr>
    </w:tbl>
    <w:p>
      <w:pPr>
        <w:tabs>
          <w:tab w:val="left" w:pos="645"/>
        </w:tabs>
        <w:spacing w:after="163" w:afterLines="50" w:line="360" w:lineRule="exact"/>
        <w:rPr>
          <w:b/>
          <w:sz w:val="21"/>
          <w:szCs w:val="21"/>
        </w:rPr>
      </w:pPr>
    </w:p>
    <w:p>
      <w:pPr>
        <w:tabs>
          <w:tab w:val="left" w:pos="645"/>
        </w:tabs>
        <w:spacing w:after="163" w:afterLines="50" w:line="360" w:lineRule="exact"/>
        <w:rPr>
          <w:b/>
          <w:sz w:val="21"/>
          <w:szCs w:val="21"/>
        </w:rPr>
      </w:pPr>
      <w:r>
        <w:rPr>
          <w:rFonts w:hint="eastAsia"/>
          <w:b/>
          <w:sz w:val="21"/>
          <w:szCs w:val="21"/>
        </w:rPr>
        <w:t>七、其它需要说明的问题</w:t>
      </w:r>
    </w:p>
    <w:p>
      <w:pPr>
        <w:snapToGrid w:val="0"/>
        <w:spacing w:line="360" w:lineRule="auto"/>
        <w:ind w:left="-211" w:leftChars="-88" w:firstLine="426" w:firstLineChars="223"/>
        <w:rPr>
          <w:rFonts w:ascii="宋体"/>
          <w:b/>
          <w:sz w:val="21"/>
          <w:szCs w:val="21"/>
        </w:rPr>
      </w:pPr>
      <w:r>
        <w:rPr>
          <w:rFonts w:hint="eastAsia"/>
          <w:b/>
          <w:spacing w:val="-10"/>
          <w:sz w:val="21"/>
          <w:szCs w:val="21"/>
        </w:rPr>
        <w:t>□</w:t>
      </w:r>
      <w:r>
        <w:rPr>
          <w:rFonts w:hint="eastAsia" w:ascii="宋体" w:hAnsi="宋体"/>
          <w:b/>
          <w:sz w:val="21"/>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70" w:firstLineChars="223"/>
              <w:rPr>
                <w:b/>
                <w:spacing w:val="-10"/>
                <w:sz w:val="21"/>
                <w:szCs w:val="21"/>
              </w:rPr>
            </w:pPr>
            <w:r>
              <w:rPr>
                <w:rFonts w:hint="eastAsia" w:ascii="宋体" w:hAnsi="宋体"/>
                <w:b/>
                <w:sz w:val="21"/>
                <w:szCs w:val="21"/>
              </w:rPr>
              <w:t>影响本次审核结论可靠性的因素</w:t>
            </w:r>
          </w:p>
        </w:tc>
        <w:tc>
          <w:tcPr>
            <w:tcW w:w="4712" w:type="dxa"/>
          </w:tcPr>
          <w:p>
            <w:pPr>
              <w:snapToGrid w:val="0"/>
              <w:spacing w:line="360" w:lineRule="auto"/>
              <w:ind w:left="-211" w:leftChars="-88" w:firstLine="470" w:firstLineChars="223"/>
              <w:rPr>
                <w:rFonts w:ascii="宋体"/>
                <w:b/>
                <w:sz w:val="21"/>
                <w:szCs w:val="21"/>
              </w:rPr>
            </w:pPr>
            <w:r>
              <w:rPr>
                <w:rFonts w:hint="eastAsia" w:ascii="宋体" w:hAnsi="宋体"/>
                <w:b/>
                <w:sz w:val="2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26" w:firstLineChars="223"/>
              <w:rPr>
                <w:rFonts w:ascii="宋体"/>
                <w:b/>
                <w:sz w:val="21"/>
                <w:szCs w:val="21"/>
              </w:rPr>
            </w:pPr>
            <w:r>
              <w:rPr>
                <w:rFonts w:hint="eastAsia"/>
                <w:b/>
                <w:spacing w:val="-10"/>
                <w:sz w:val="21"/>
                <w:szCs w:val="21"/>
              </w:rPr>
              <w:t>□</w:t>
            </w:r>
            <w:r>
              <w:rPr>
                <w:rFonts w:hint="eastAsia" w:ascii="宋体" w:hAnsi="宋体"/>
                <w:b/>
                <w:sz w:val="21"/>
                <w:szCs w:val="21"/>
              </w:rPr>
              <w:t>样本量不足</w:t>
            </w:r>
          </w:p>
        </w:tc>
        <w:tc>
          <w:tcPr>
            <w:tcW w:w="4712" w:type="dxa"/>
          </w:tcPr>
          <w:p>
            <w:pPr>
              <w:snapToGrid w:val="0"/>
              <w:spacing w:line="360" w:lineRule="auto"/>
              <w:ind w:left="-211" w:leftChars="-88" w:firstLine="470" w:firstLineChars="223"/>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26" w:firstLineChars="223"/>
              <w:rPr>
                <w:rFonts w:ascii="宋体"/>
                <w:b/>
                <w:color w:val="FF0000"/>
                <w:sz w:val="21"/>
                <w:szCs w:val="21"/>
              </w:rPr>
            </w:pPr>
            <w:r>
              <w:rPr>
                <w:rFonts w:hint="eastAsia"/>
                <w:b/>
                <w:spacing w:val="-10"/>
                <w:sz w:val="21"/>
                <w:szCs w:val="21"/>
              </w:rPr>
              <w:t>□</w:t>
            </w:r>
            <w:r>
              <w:rPr>
                <w:rFonts w:hint="eastAsia" w:ascii="宋体" w:hAnsi="宋体"/>
                <w:b/>
                <w:sz w:val="21"/>
                <w:szCs w:val="21"/>
              </w:rPr>
              <w:t>知识产权保护</w:t>
            </w:r>
          </w:p>
        </w:tc>
        <w:tc>
          <w:tcPr>
            <w:tcW w:w="4712" w:type="dxa"/>
          </w:tcPr>
          <w:p>
            <w:pPr>
              <w:snapToGrid w:val="0"/>
              <w:spacing w:line="360" w:lineRule="auto"/>
              <w:ind w:left="-211" w:leftChars="-88" w:firstLine="470" w:firstLineChars="223"/>
              <w:rPr>
                <w:rFonts w:ascii="宋体"/>
                <w:b/>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26" w:firstLineChars="223"/>
              <w:rPr>
                <w:rFonts w:ascii="宋体"/>
                <w:b/>
                <w:color w:val="FF0000"/>
                <w:sz w:val="21"/>
                <w:szCs w:val="21"/>
              </w:rPr>
            </w:pPr>
            <w:r>
              <w:rPr>
                <w:rFonts w:hint="eastAsia"/>
                <w:b/>
                <w:spacing w:val="-10"/>
                <w:sz w:val="21"/>
                <w:szCs w:val="21"/>
              </w:rPr>
              <w:t>□</w:t>
            </w:r>
            <w:r>
              <w:rPr>
                <w:rFonts w:hint="eastAsia" w:ascii="宋体" w:hAnsi="宋体"/>
                <w:b/>
                <w:sz w:val="21"/>
                <w:szCs w:val="21"/>
              </w:rPr>
              <w:t>因受审核方信息造成的日数或审核资源不足</w:t>
            </w:r>
          </w:p>
        </w:tc>
        <w:tc>
          <w:tcPr>
            <w:tcW w:w="4712" w:type="dxa"/>
          </w:tcPr>
          <w:p>
            <w:pPr>
              <w:snapToGrid w:val="0"/>
              <w:spacing w:line="360" w:lineRule="auto"/>
              <w:ind w:left="-211" w:leftChars="-88" w:firstLine="470" w:firstLineChars="223"/>
              <w:rPr>
                <w:rFonts w:ascii="宋体"/>
                <w:b/>
                <w:color w:val="FF0000"/>
                <w:sz w:val="21"/>
                <w:szCs w:val="21"/>
              </w:rPr>
            </w:pPr>
          </w:p>
        </w:tc>
      </w:tr>
    </w:tbl>
    <w:p>
      <w:pPr>
        <w:snapToGrid w:val="0"/>
        <w:spacing w:line="360" w:lineRule="auto"/>
        <w:ind w:left="-211" w:leftChars="-88" w:firstLine="426" w:firstLineChars="223"/>
        <w:rPr>
          <w:b/>
          <w:spacing w:val="-10"/>
          <w:sz w:val="21"/>
          <w:szCs w:val="21"/>
        </w:rPr>
      </w:pPr>
    </w:p>
    <w:p>
      <w:pPr>
        <w:snapToGrid w:val="0"/>
        <w:spacing w:line="360" w:lineRule="auto"/>
        <w:ind w:left="-211" w:leftChars="-88" w:firstLine="426" w:firstLineChars="223"/>
        <w:rPr>
          <w:rFonts w:ascii="宋体"/>
          <w:b/>
          <w:sz w:val="21"/>
          <w:szCs w:val="21"/>
        </w:rPr>
      </w:pPr>
      <w:bookmarkStart w:id="23" w:name="_GoBack"/>
      <w:bookmarkEnd w:id="23"/>
      <w:r>
        <w:rPr>
          <w:rFonts w:hint="eastAsia"/>
          <w:b/>
          <w:spacing w:val="-10"/>
          <w:sz w:val="21"/>
          <w:szCs w:val="21"/>
        </w:rPr>
        <w:sym w:font="Wingdings 2" w:char="0052"/>
      </w:r>
      <w:r>
        <w:rPr>
          <w:rFonts w:hint="eastAsia" w:ascii="宋体" w:hAnsi="宋体"/>
          <w:b/>
          <w:sz w:val="21"/>
          <w:szCs w:val="21"/>
        </w:rPr>
        <w:t>达到审核目的</w:t>
      </w:r>
    </w:p>
    <w:p>
      <w:pPr>
        <w:snapToGrid w:val="0"/>
        <w:spacing w:line="360" w:lineRule="auto"/>
        <w:ind w:left="-211" w:leftChars="-88" w:firstLine="426" w:firstLineChars="223"/>
        <w:rPr>
          <w:rFonts w:ascii="宋体"/>
          <w:b/>
          <w:sz w:val="21"/>
          <w:szCs w:val="21"/>
        </w:rPr>
      </w:pPr>
      <w:r>
        <w:rPr>
          <w:rFonts w:hint="eastAsia"/>
          <w:b/>
          <w:spacing w:val="-10"/>
          <w:sz w:val="21"/>
          <w:szCs w:val="21"/>
        </w:rPr>
        <w:t>□未</w:t>
      </w:r>
      <w:r>
        <w:rPr>
          <w:rFonts w:hint="eastAsia" w:ascii="宋体" w:hAnsi="宋体"/>
          <w:b/>
          <w:sz w:val="21"/>
          <w:szCs w:val="21"/>
        </w:rPr>
        <w:t>达到审核目的，未达到目的的原因是：</w:t>
      </w:r>
    </w:p>
    <w:p>
      <w:pPr>
        <w:numPr>
          <w:ilvl w:val="0"/>
          <w:numId w:val="8"/>
        </w:numPr>
        <w:tabs>
          <w:tab w:val="left" w:pos="645"/>
        </w:tabs>
        <w:spacing w:before="163" w:beforeLines="50" w:after="163" w:afterLines="50" w:line="360" w:lineRule="exact"/>
        <w:ind w:left="0" w:leftChars="0" w:firstLine="0" w:firstLineChars="0"/>
        <w:rPr>
          <w:rFonts w:hint="eastAsia"/>
          <w:b/>
          <w:sz w:val="21"/>
          <w:szCs w:val="21"/>
        </w:rPr>
      </w:pPr>
      <w:r>
        <w:rPr>
          <w:rFonts w:hint="eastAsia"/>
          <w:b/>
          <w:sz w:val="21"/>
          <w:szCs w:val="21"/>
        </w:rPr>
        <w:t>本次审核不符合项</w:t>
      </w:r>
    </w:p>
    <w:p>
      <w:pPr>
        <w:numPr>
          <w:ilvl w:val="0"/>
          <w:numId w:val="8"/>
        </w:numPr>
        <w:tabs>
          <w:tab w:val="left" w:pos="645"/>
        </w:tabs>
        <w:spacing w:before="163" w:beforeLines="50" w:after="163" w:afterLines="50" w:line="360" w:lineRule="exact"/>
        <w:ind w:left="0" w:leftChars="0" w:firstLine="0" w:firstLineChars="0"/>
        <w:rPr>
          <w:rFonts w:ascii="宋体" w:hAnsi="宋体"/>
          <w:b/>
          <w:sz w:val="21"/>
          <w:szCs w:val="21"/>
        </w:rPr>
      </w:pPr>
      <w:r>
        <w:rPr>
          <w:rFonts w:hint="eastAsia" w:ascii="宋体" w:hAnsi="宋体"/>
          <w:b/>
          <w:sz w:val="21"/>
          <w:szCs w:val="21"/>
        </w:rPr>
        <w:t>本次审核共开具不符合项报告</w:t>
      </w:r>
      <w:r>
        <w:rPr>
          <w:rFonts w:hint="eastAsia" w:ascii="宋体" w:hAnsi="宋体"/>
          <w:b/>
          <w:sz w:val="21"/>
          <w:szCs w:val="21"/>
          <w:lang w:val="en-US" w:eastAsia="zh-CN"/>
        </w:rPr>
        <w:t>1</w:t>
      </w:r>
      <w:r>
        <w:rPr>
          <w:rFonts w:hint="eastAsia" w:ascii="宋体" w:hAnsi="宋体"/>
          <w:b/>
          <w:sz w:val="21"/>
          <w:szCs w:val="21"/>
        </w:rPr>
        <w:t>项；其中</w:t>
      </w:r>
      <w:r>
        <w:rPr>
          <w:rFonts w:ascii="宋体" w:hAnsi="宋体"/>
          <w:b/>
          <w:sz w:val="21"/>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 w:val="21"/>
          <w:szCs w:val="21"/>
        </w:rPr>
        <w:t>严重不符合</w:t>
      </w:r>
      <w:r>
        <w:rPr>
          <w:rFonts w:hint="eastAsia" w:ascii="宋体" w:hAnsi="宋体"/>
          <w:b/>
          <w:sz w:val="21"/>
          <w:szCs w:val="21"/>
          <w:lang w:val="en-US" w:eastAsia="zh-CN"/>
        </w:rPr>
        <w:t>0</w:t>
      </w:r>
      <w:r>
        <w:rPr>
          <w:rFonts w:hint="eastAsia" w:ascii="宋体" w:hAnsi="宋体"/>
          <w:b/>
          <w:sz w:val="21"/>
          <w:szCs w:val="21"/>
        </w:rPr>
        <w:t>项，一般不符合</w:t>
      </w:r>
      <w:r>
        <w:rPr>
          <w:rFonts w:hint="eastAsia" w:ascii="宋体" w:hAnsi="宋体"/>
          <w:b/>
          <w:sz w:val="21"/>
          <w:szCs w:val="21"/>
          <w:lang w:val="en-US" w:eastAsia="zh-CN"/>
        </w:rPr>
        <w:t>1</w:t>
      </w:r>
      <w:r>
        <w:rPr>
          <w:rFonts w:hint="eastAsia" w:ascii="宋体" w:hAnsi="宋体"/>
          <w:b/>
          <w:sz w:val="21"/>
          <w:szCs w:val="21"/>
        </w:rPr>
        <w:t>项，观察项</w:t>
      </w:r>
      <w:r>
        <w:rPr>
          <w:rFonts w:hint="eastAsia" w:ascii="宋体" w:hAnsi="宋体"/>
          <w:b/>
          <w:sz w:val="21"/>
          <w:szCs w:val="21"/>
          <w:lang w:val="en-US" w:eastAsia="zh-CN"/>
        </w:rPr>
        <w:t>2</w:t>
      </w:r>
      <w:r>
        <w:rPr>
          <w:rFonts w:hint="eastAsia" w:ascii="宋体" w:hAnsi="宋体"/>
          <w:b/>
          <w:sz w:val="21"/>
          <w:szCs w:val="21"/>
        </w:rPr>
        <w:t>项</w:t>
      </w:r>
      <w:r>
        <w:rPr>
          <w:rFonts w:hint="eastAsia" w:ascii="宋体" w:hAnsi="宋体"/>
          <w:b/>
          <w:sz w:val="21"/>
          <w:szCs w:val="21"/>
          <w:lang w:eastAsia="zh-CN"/>
        </w:rPr>
        <w:t>，</w:t>
      </w:r>
      <w:r>
        <w:rPr>
          <w:rFonts w:hint="eastAsia" w:ascii="宋体" w:hAnsi="宋体"/>
          <w:b/>
          <w:sz w:val="21"/>
          <w:szCs w:val="21"/>
          <w:lang w:val="en-US" w:eastAsia="zh-CN"/>
        </w:rPr>
        <w:t>不符合</w:t>
      </w:r>
      <w:r>
        <w:rPr>
          <w:rFonts w:hint="eastAsia" w:ascii="宋体" w:hAnsi="宋体"/>
          <w:b/>
          <w:sz w:val="21"/>
          <w:szCs w:val="21"/>
        </w:rPr>
        <w:t>分布在</w:t>
      </w:r>
      <w:r>
        <w:rPr>
          <w:rFonts w:hint="eastAsia" w:ascii="宋体" w:hAnsi="宋体"/>
          <w:b/>
          <w:sz w:val="21"/>
          <w:szCs w:val="21"/>
          <w:lang w:val="en-US" w:eastAsia="zh-CN"/>
        </w:rPr>
        <w:t>采购部QEO7.4</w:t>
      </w:r>
      <w:r>
        <w:rPr>
          <w:rFonts w:hint="eastAsia" w:ascii="宋体" w:hAnsi="宋体"/>
          <w:b/>
          <w:sz w:val="21"/>
          <w:szCs w:val="21"/>
        </w:rPr>
        <w:t>条款，见不符合项分布表。（</w:t>
      </w:r>
      <w:r>
        <w:rPr>
          <w:rFonts w:ascii="宋体" w:hAnsi="宋体"/>
          <w:b/>
          <w:sz w:val="21"/>
          <w:szCs w:val="21"/>
        </w:rPr>
        <w:t>Q/J/E/S</w:t>
      </w:r>
      <w:r>
        <w:rPr>
          <w:rFonts w:hint="eastAsia" w:ascii="宋体" w:hAnsi="宋体"/>
          <w:b/>
          <w:sz w:val="21"/>
          <w:szCs w:val="21"/>
        </w:rPr>
        <w:t>分开填写）</w:t>
      </w:r>
    </w:p>
    <w:p>
      <w:pPr>
        <w:tabs>
          <w:tab w:val="left" w:pos="645"/>
        </w:tabs>
        <w:spacing w:after="163" w:afterLines="50" w:line="360" w:lineRule="exact"/>
        <w:rPr>
          <w:b/>
          <w:sz w:val="21"/>
          <w:szCs w:val="21"/>
        </w:rPr>
      </w:pPr>
      <w:r>
        <w:rPr>
          <w:rFonts w:hint="eastAsia"/>
          <w:b/>
          <w:sz w:val="21"/>
          <w:szCs w:val="21"/>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9523" w:type="dxa"/>
            <w:vAlign w:val="center"/>
          </w:tcPr>
          <w:p>
            <w:pPr>
              <w:ind w:left="240" w:leftChars="100" w:firstLine="105" w:firstLineChars="50"/>
              <w:jc w:val="left"/>
              <w:rPr>
                <w:rFonts w:ascii="宋体" w:hAnsi="宋体"/>
                <w:b/>
                <w:sz w:val="21"/>
                <w:szCs w:val="21"/>
              </w:rPr>
            </w:pPr>
            <w:r>
              <w:rPr>
                <w:rFonts w:ascii="宋体" w:hAnsi="宋体"/>
                <w:b/>
                <w:sz w:val="21"/>
                <w:szCs w:val="21"/>
              </w:rPr>
              <w:t>1.</w:t>
            </w:r>
            <w:r>
              <w:rPr>
                <w:rFonts w:hint="eastAsia" w:ascii="宋体" w:hAnsi="宋体"/>
                <w:b/>
                <w:sz w:val="21"/>
                <w:szCs w:val="21"/>
              </w:rPr>
              <w:sym w:font="Wingdings 2" w:char="0052"/>
            </w:r>
            <w:r>
              <w:rPr>
                <w:rFonts w:ascii="宋体" w:hAnsi="宋体"/>
                <w:b/>
                <w:sz w:val="21"/>
                <w:szCs w:val="21"/>
              </w:rPr>
              <w:t>QMS</w:t>
            </w:r>
            <w:r>
              <w:rPr>
                <w:rFonts w:hint="eastAsia" w:ascii="宋体" w:hAnsi="宋体"/>
                <w:b/>
                <w:sz w:val="21"/>
                <w:szCs w:val="21"/>
              </w:rPr>
              <w:t>□50430</w:t>
            </w:r>
            <w:r>
              <w:rPr>
                <w:rFonts w:hint="eastAsia" w:ascii="宋体" w:hAnsi="宋体"/>
                <w:b/>
                <w:sz w:val="21"/>
                <w:szCs w:val="21"/>
              </w:rPr>
              <w:sym w:font="Wingdings 2" w:char="0052"/>
            </w:r>
            <w:r>
              <w:rPr>
                <w:rFonts w:ascii="宋体" w:hAnsi="宋体"/>
                <w:b/>
                <w:sz w:val="21"/>
                <w:szCs w:val="21"/>
              </w:rPr>
              <w:t xml:space="preserve">EMS  </w:t>
            </w:r>
            <w:r>
              <w:rPr>
                <w:rFonts w:hint="eastAsia" w:ascii="宋体" w:hAnsi="宋体"/>
                <w:b/>
                <w:sz w:val="21"/>
                <w:szCs w:val="21"/>
              </w:rPr>
              <w:sym w:font="Wingdings 2" w:char="0052"/>
            </w:r>
            <w:r>
              <w:rPr>
                <w:rFonts w:ascii="宋体" w:hAnsi="宋体"/>
                <w:b/>
                <w:sz w:val="21"/>
                <w:szCs w:val="21"/>
              </w:rPr>
              <w:t>OHSMS</w:t>
            </w:r>
          </w:p>
          <w:p>
            <w:pPr>
              <w:spacing w:line="280" w:lineRule="exact"/>
              <w:rPr>
                <w:rFonts w:ascii="宋体" w:hAnsi="宋体"/>
                <w:b/>
                <w:sz w:val="21"/>
                <w:szCs w:val="21"/>
              </w:rPr>
            </w:pPr>
            <w:r>
              <w:rPr>
                <w:rFonts w:hint="eastAsia" w:ascii="宋体" w:hAnsi="宋体"/>
                <w:b/>
                <w:sz w:val="21"/>
                <w:szCs w:val="21"/>
              </w:rPr>
              <w:t>的适宜性、充分性、运行有效性，自我完善机制等，管理体系满足适用要求和实现预期结果的能力。</w:t>
            </w:r>
          </w:p>
          <w:p>
            <w:pPr>
              <w:spacing w:line="280" w:lineRule="exact"/>
              <w:ind w:left="316" w:leftChars="88" w:hanging="105" w:hangingChars="50"/>
              <w:rPr>
                <w:rFonts w:ascii="宋体" w:hAnsi="宋体"/>
                <w:b/>
                <w:sz w:val="21"/>
                <w:szCs w:val="21"/>
              </w:rPr>
            </w:pPr>
            <w:r>
              <w:rPr>
                <w:rFonts w:ascii="宋体" w:hAnsi="宋体"/>
                <w:b/>
                <w:sz w:val="21"/>
                <w:szCs w:val="21"/>
              </w:rPr>
              <w:t>(</w:t>
            </w:r>
            <w:r>
              <w:rPr>
                <w:rFonts w:hint="eastAsia" w:ascii="宋体" w:hAnsi="宋体"/>
                <w:b/>
                <w:sz w:val="21"/>
                <w:szCs w:val="21"/>
              </w:rPr>
              <w:t>描述组织的管理体系在认证周期内持续对过程控制的情况，持续满足标准要求和目标方面的有效性，向顾客提供稳定、合格产品，满足适用的环境</w:t>
            </w:r>
            <w:r>
              <w:rPr>
                <w:rFonts w:ascii="宋体" w:hAnsi="宋体"/>
                <w:b/>
                <w:sz w:val="21"/>
                <w:szCs w:val="21"/>
              </w:rPr>
              <w:t>/</w:t>
            </w:r>
            <w:r>
              <w:rPr>
                <w:rFonts w:hint="eastAsia" w:ascii="宋体" w:hAnsi="宋体"/>
                <w:b/>
                <w:sz w:val="21"/>
                <w:szCs w:val="21"/>
              </w:rPr>
              <w:t>职业健康安全法规、防止污染、重大事故和持续改进而策划的活动的情况；扩大范围部分体系运行情况</w:t>
            </w:r>
            <w:r>
              <w:rPr>
                <w:rFonts w:ascii="宋体" w:hAnsi="宋体"/>
                <w:b/>
                <w:sz w:val="21"/>
                <w:szCs w:val="21"/>
              </w:rPr>
              <w:t>)</w:t>
            </w:r>
          </w:p>
          <w:p>
            <w:pPr>
              <w:spacing w:line="280" w:lineRule="exact"/>
              <w:ind w:left="430" w:leftChars="179" w:firstLine="316" w:firstLineChars="150"/>
              <w:rPr>
                <w:rFonts w:ascii="宋体" w:hAnsi="宋体"/>
                <w:b/>
                <w:sz w:val="21"/>
                <w:szCs w:val="21"/>
              </w:rPr>
            </w:pPr>
            <w:r>
              <w:rPr>
                <w:rFonts w:hint="eastAsia"/>
                <w:b/>
                <w:color w:val="000000" w:themeColor="text1"/>
                <w:sz w:val="21"/>
                <w:szCs w:val="21"/>
              </w:rPr>
              <w:t>该公司建立并实施的质量、环境、职业健康安全管理体系基本符合标准要求，对可能存在的重要风险基本可以得到有效控制，</w:t>
            </w:r>
            <w:r>
              <w:rPr>
                <w:rFonts w:hint="eastAsia"/>
                <w:b/>
                <w:color w:val="000000" w:themeColor="text1"/>
                <w:sz w:val="21"/>
                <w:szCs w:val="21"/>
                <w:lang w:val="en-US" w:eastAsia="zh-CN"/>
              </w:rPr>
              <w:t>销售</w:t>
            </w:r>
            <w:r>
              <w:rPr>
                <w:rFonts w:hint="eastAsia"/>
                <w:b/>
                <w:color w:val="000000" w:themeColor="text1"/>
                <w:sz w:val="21"/>
                <w:szCs w:val="21"/>
              </w:rPr>
              <w:t>服务质量稳定，没有出现过质量、环境和职业健康安全事故以及顾客投诉等事件，该公司初步建立了自我完善和自我改进机制，管理体系</w:t>
            </w:r>
            <w:r>
              <w:rPr>
                <w:rFonts w:hint="eastAsia"/>
                <w:b/>
                <w:color w:val="000000" w:themeColor="text1"/>
                <w:sz w:val="21"/>
                <w:szCs w:val="21"/>
                <w:lang w:val="en-US" w:eastAsia="zh-CN"/>
              </w:rPr>
              <w:t>从认证以来</w:t>
            </w:r>
            <w:r>
              <w:rPr>
                <w:rFonts w:hint="eastAsia"/>
                <w:b/>
                <w:color w:val="000000" w:themeColor="text1"/>
                <w:sz w:val="21"/>
                <w:szCs w:val="21"/>
              </w:rPr>
              <w:t>运行基本有效。</w:t>
            </w:r>
            <w:r>
              <w:rPr>
                <w:rFonts w:hint="eastAsia"/>
                <w:b/>
                <w:color w:val="000000" w:themeColor="text1"/>
                <w:sz w:val="21"/>
                <w:szCs w:val="21"/>
                <w:lang w:val="en-US" w:eastAsia="zh-CN"/>
              </w:rPr>
              <w:t>本次监督审核</w:t>
            </w:r>
            <w:r>
              <w:rPr>
                <w:rFonts w:hint="eastAsia"/>
                <w:b/>
                <w:color w:val="000000" w:themeColor="text1"/>
                <w:sz w:val="21"/>
                <w:szCs w:val="21"/>
              </w:rPr>
              <w:t>现场开具的</w:t>
            </w:r>
            <w:r>
              <w:rPr>
                <w:b/>
                <w:color w:val="000000" w:themeColor="text1"/>
                <w:sz w:val="21"/>
                <w:szCs w:val="21"/>
              </w:rPr>
              <w:t>1</w:t>
            </w:r>
            <w:r>
              <w:rPr>
                <w:rFonts w:hint="eastAsia"/>
                <w:b/>
                <w:color w:val="000000" w:themeColor="text1"/>
                <w:sz w:val="21"/>
                <w:szCs w:val="21"/>
              </w:rPr>
              <w:t>项一般不符合在规定的期限内采取纠正措施并经审核组书面验证有效，同意推荐该公司</w:t>
            </w:r>
            <w:r>
              <w:rPr>
                <w:rFonts w:hint="eastAsia"/>
                <w:b/>
                <w:color w:val="000000" w:themeColor="text1"/>
                <w:sz w:val="21"/>
                <w:szCs w:val="21"/>
                <w:lang w:val="en-US" w:eastAsia="zh-CN"/>
              </w:rPr>
              <w:t>保持</w:t>
            </w:r>
            <w:r>
              <w:rPr>
                <w:rFonts w:hint="eastAsia"/>
                <w:b/>
                <w:color w:val="000000" w:themeColor="text1"/>
                <w:sz w:val="21"/>
                <w:szCs w:val="21"/>
              </w:rPr>
              <w:t>质量、环境、管理体系认证注册</w:t>
            </w:r>
            <w:r>
              <w:rPr>
                <w:rFonts w:hint="eastAsia"/>
                <w:b/>
                <w:color w:val="000000" w:themeColor="text1"/>
                <w:sz w:val="21"/>
                <w:szCs w:val="21"/>
                <w:lang w:val="en-US" w:eastAsia="zh-CN"/>
              </w:rPr>
              <w:t>资格</w:t>
            </w:r>
            <w:r>
              <w:rPr>
                <w:rFonts w:hint="eastAsia"/>
                <w:b/>
                <w:color w:val="000000" w:themeColor="text1"/>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 w:val="21"/>
                <w:szCs w:val="21"/>
              </w:rPr>
            </w:pPr>
            <w:r>
              <w:rPr>
                <w:rFonts w:ascii="宋体" w:hAnsi="宋体"/>
                <w:b/>
                <w:sz w:val="21"/>
                <w:szCs w:val="21"/>
              </w:rPr>
              <w:t xml:space="preserve">2. </w:t>
            </w:r>
            <w:r>
              <w:rPr>
                <w:rFonts w:hint="eastAsia" w:ascii="宋体" w:hAnsi="宋体"/>
                <w:b/>
                <w:sz w:val="21"/>
                <w:szCs w:val="21"/>
              </w:rPr>
              <w:t>审核组推荐意见：</w:t>
            </w:r>
          </w:p>
          <w:p>
            <w:pPr>
              <w:spacing w:line="280" w:lineRule="exact"/>
              <w:ind w:firstLine="316" w:firstLineChars="150"/>
              <w:rPr>
                <w:rFonts w:ascii="宋体" w:hAnsi="宋体"/>
                <w:b/>
                <w:sz w:val="21"/>
                <w:szCs w:val="21"/>
              </w:rPr>
            </w:pPr>
            <w:r>
              <w:rPr>
                <w:rFonts w:hint="eastAsia" w:ascii="宋体" w:hAnsi="宋体"/>
                <w:b/>
                <w:sz w:val="21"/>
                <w:szCs w:val="21"/>
              </w:rPr>
              <w:t>□推荐保持（□</w:t>
            </w:r>
            <w:r>
              <w:rPr>
                <w:rFonts w:ascii="宋体" w:hAnsi="宋体"/>
                <w:b/>
                <w:sz w:val="21"/>
                <w:szCs w:val="21"/>
              </w:rPr>
              <w:t>QMS</w:t>
            </w:r>
            <w:r>
              <w:rPr>
                <w:rFonts w:hint="eastAsia" w:ascii="宋体" w:hAnsi="宋体"/>
                <w:b/>
                <w:sz w:val="21"/>
                <w:szCs w:val="21"/>
              </w:rPr>
              <w:t>□50430□</w:t>
            </w:r>
            <w:r>
              <w:rPr>
                <w:rFonts w:ascii="宋体" w:hAnsi="宋体"/>
                <w:b/>
                <w:sz w:val="21"/>
                <w:szCs w:val="21"/>
              </w:rPr>
              <w:t xml:space="preserve">EMS  </w:t>
            </w:r>
            <w:r>
              <w:rPr>
                <w:rFonts w:hint="eastAsia" w:ascii="宋体" w:hAnsi="宋体"/>
                <w:b/>
                <w:sz w:val="21"/>
                <w:szCs w:val="21"/>
              </w:rPr>
              <w:t>□</w:t>
            </w:r>
            <w:r>
              <w:rPr>
                <w:rFonts w:ascii="宋体" w:hAnsi="宋体"/>
                <w:b/>
                <w:sz w:val="21"/>
                <w:szCs w:val="21"/>
              </w:rPr>
              <w:t>OHSMS</w:t>
            </w:r>
          </w:p>
          <w:p>
            <w:pPr>
              <w:spacing w:line="280" w:lineRule="exact"/>
              <w:ind w:firstLine="316" w:firstLineChars="150"/>
              <w:rPr>
                <w:rFonts w:ascii="宋体" w:hAnsi="宋体"/>
                <w:b/>
                <w:sz w:val="21"/>
                <w:szCs w:val="21"/>
              </w:rPr>
            </w:pPr>
            <w:r>
              <w:rPr>
                <w:rFonts w:hint="eastAsia" w:ascii="宋体" w:hAnsi="宋体"/>
                <w:b/>
                <w:sz w:val="21"/>
                <w:szCs w:val="21"/>
              </w:rPr>
              <w:sym w:font="Wingdings 2" w:char="0052"/>
            </w:r>
            <w:r>
              <w:rPr>
                <w:rFonts w:ascii="宋体" w:hAnsi="宋体"/>
                <w:b/>
                <w:sz w:val="21"/>
                <w:szCs w:val="21"/>
              </w:rPr>
              <w:t>(</w:t>
            </w:r>
            <w:r>
              <w:rPr>
                <w:rFonts w:hint="eastAsia" w:ascii="宋体" w:hAnsi="宋体"/>
                <w:b/>
                <w:sz w:val="21"/>
                <w:szCs w:val="21"/>
              </w:rPr>
              <w:t>在完成纠正措施后</w:t>
            </w:r>
            <w:r>
              <w:rPr>
                <w:rFonts w:ascii="宋体" w:hAnsi="宋体"/>
                <w:b/>
                <w:sz w:val="21"/>
                <w:szCs w:val="21"/>
              </w:rPr>
              <w:t>)</w:t>
            </w:r>
            <w:r>
              <w:rPr>
                <w:rFonts w:hint="eastAsia" w:ascii="宋体" w:hAnsi="宋体"/>
                <w:b/>
                <w:sz w:val="21"/>
                <w:szCs w:val="21"/>
              </w:rPr>
              <w:t>推荐保持（</w:t>
            </w:r>
            <w:r>
              <w:rPr>
                <w:rFonts w:hint="eastAsia" w:ascii="宋体" w:hAnsi="宋体"/>
                <w:b/>
                <w:sz w:val="21"/>
                <w:szCs w:val="21"/>
              </w:rPr>
              <w:sym w:font="Wingdings 2" w:char="0052"/>
            </w:r>
            <w:r>
              <w:rPr>
                <w:rFonts w:ascii="宋体" w:hAnsi="宋体"/>
                <w:b/>
                <w:sz w:val="21"/>
                <w:szCs w:val="21"/>
              </w:rPr>
              <w:t>QMS</w:t>
            </w:r>
            <w:r>
              <w:rPr>
                <w:rFonts w:hint="eastAsia" w:ascii="宋体" w:hAnsi="宋体"/>
                <w:b/>
                <w:sz w:val="21"/>
                <w:szCs w:val="21"/>
              </w:rPr>
              <w:t>□50430</w:t>
            </w:r>
            <w:r>
              <w:rPr>
                <w:rFonts w:hint="eastAsia" w:ascii="宋体" w:hAnsi="宋体"/>
                <w:b/>
                <w:sz w:val="21"/>
                <w:szCs w:val="21"/>
              </w:rPr>
              <w:sym w:font="Wingdings 2" w:char="0052"/>
            </w:r>
            <w:r>
              <w:rPr>
                <w:rFonts w:ascii="宋体" w:hAnsi="宋体"/>
                <w:b/>
                <w:sz w:val="21"/>
                <w:szCs w:val="21"/>
              </w:rPr>
              <w:t xml:space="preserve">EMS  </w:t>
            </w:r>
            <w:r>
              <w:rPr>
                <w:rFonts w:hint="eastAsia" w:ascii="宋体" w:hAnsi="宋体"/>
                <w:b/>
                <w:sz w:val="21"/>
                <w:szCs w:val="21"/>
              </w:rPr>
              <w:sym w:font="Wingdings 2" w:char="0052"/>
            </w:r>
            <w:r>
              <w:rPr>
                <w:rFonts w:ascii="宋体" w:hAnsi="宋体"/>
                <w:b/>
                <w:sz w:val="21"/>
                <w:szCs w:val="21"/>
              </w:rPr>
              <w:t>OHSMS</w:t>
            </w:r>
          </w:p>
          <w:p>
            <w:pPr>
              <w:spacing w:line="280" w:lineRule="exact"/>
              <w:ind w:firstLine="316" w:firstLineChars="150"/>
              <w:rPr>
                <w:rFonts w:ascii="宋体" w:hAnsi="宋体"/>
                <w:b/>
                <w:sz w:val="21"/>
                <w:szCs w:val="21"/>
              </w:rPr>
            </w:pPr>
            <w:r>
              <w:rPr>
                <w:rFonts w:hint="eastAsia" w:ascii="宋体" w:hAnsi="宋体"/>
                <w:b/>
                <w:sz w:val="21"/>
                <w:szCs w:val="21"/>
              </w:rPr>
              <w:t>□延期推荐（□</w:t>
            </w:r>
            <w:r>
              <w:rPr>
                <w:rFonts w:ascii="宋体" w:hAnsi="宋体"/>
                <w:b/>
                <w:sz w:val="21"/>
                <w:szCs w:val="21"/>
              </w:rPr>
              <w:t>QMS</w:t>
            </w:r>
            <w:r>
              <w:rPr>
                <w:rFonts w:hint="eastAsia" w:ascii="宋体" w:hAnsi="宋体"/>
                <w:b/>
                <w:sz w:val="21"/>
                <w:szCs w:val="21"/>
              </w:rPr>
              <w:t>□50430□</w:t>
            </w:r>
            <w:r>
              <w:rPr>
                <w:rFonts w:ascii="宋体" w:hAnsi="宋体"/>
                <w:b/>
                <w:sz w:val="21"/>
                <w:szCs w:val="21"/>
              </w:rPr>
              <w:t xml:space="preserve">EMS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w:t>
            </w:r>
          </w:p>
          <w:p>
            <w:pPr>
              <w:spacing w:line="280" w:lineRule="exact"/>
              <w:ind w:firstLine="316" w:firstLineChars="150"/>
              <w:rPr>
                <w:rFonts w:ascii="宋体" w:hAnsi="宋体"/>
                <w:b/>
                <w:sz w:val="21"/>
                <w:szCs w:val="21"/>
              </w:rPr>
            </w:pPr>
            <w:r>
              <w:rPr>
                <w:rFonts w:hint="eastAsia" w:ascii="宋体" w:hAnsi="宋体"/>
                <w:b/>
                <w:sz w:val="21"/>
                <w:szCs w:val="21"/>
              </w:rPr>
              <w:t>□不推荐（□</w:t>
            </w:r>
            <w:r>
              <w:rPr>
                <w:rFonts w:ascii="宋体" w:hAnsi="宋体"/>
                <w:b/>
                <w:sz w:val="21"/>
                <w:szCs w:val="21"/>
              </w:rPr>
              <w:t>QMS</w:t>
            </w:r>
            <w:r>
              <w:rPr>
                <w:rFonts w:hint="eastAsia" w:ascii="宋体" w:hAnsi="宋体"/>
                <w:b/>
                <w:sz w:val="21"/>
                <w:szCs w:val="21"/>
              </w:rPr>
              <w:t>□50430□</w:t>
            </w:r>
            <w:r>
              <w:rPr>
                <w:rFonts w:ascii="宋体" w:hAnsi="宋体"/>
                <w:b/>
                <w:sz w:val="21"/>
                <w:szCs w:val="21"/>
              </w:rPr>
              <w:t xml:space="preserve">EMS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w:t>
            </w:r>
          </w:p>
          <w:p>
            <w:pPr>
              <w:spacing w:line="280" w:lineRule="exact"/>
              <w:ind w:firstLine="316" w:firstLineChars="150"/>
              <w:rPr>
                <w:b/>
                <w:sz w:val="21"/>
                <w:szCs w:val="21"/>
              </w:rPr>
            </w:pPr>
            <w:r>
              <w:rPr>
                <w:rFonts w:hint="eastAsia" w:ascii="宋体" w:hAnsi="宋体"/>
                <w:b/>
                <w:sz w:val="21"/>
                <w:szCs w:val="21"/>
              </w:rPr>
              <w:t>延期推荐、不推荐或缩小认证范围的说明</w:t>
            </w:r>
            <w:r>
              <w:rPr>
                <w:rFonts w:ascii="宋体" w:hAnsi="宋体"/>
                <w:b/>
                <w:sz w:val="21"/>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bCs/>
          <w:sz w:val="21"/>
          <w:szCs w:val="28"/>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w:t>
      </w:r>
      <w:r>
        <w:rPr>
          <w:rFonts w:hint="eastAsia"/>
          <w:b/>
          <w:sz w:val="21"/>
          <w:szCs w:val="21"/>
          <w:lang w:eastAsia="zh-CN"/>
        </w:rPr>
        <w:t>（</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A3"/>
      </w:r>
      <w:r>
        <w:rPr>
          <w:rFonts w:hint="eastAsia"/>
          <w:b/>
          <w:bCs/>
          <w:sz w:val="21"/>
          <w:szCs w:val="21"/>
        </w:rPr>
        <w:t>50430 (  )个一般不符合，(  )个严重不符合，</w:t>
      </w:r>
      <w:r>
        <w:rPr>
          <w:rFonts w:hint="eastAsia"/>
          <w:b/>
          <w:bCs/>
          <w:sz w:val="21"/>
          <w:szCs w:val="21"/>
        </w:rPr>
        <w:sym w:font="Wingdings 2" w:char="0052"/>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OHSMS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r>
        <w:rPr>
          <w:rFonts w:hint="eastAsia"/>
          <w:b/>
          <w:sz w:val="21"/>
          <w:szCs w:val="21"/>
          <w:lang w:val="en-US" w:eastAsia="zh-CN"/>
        </w:rPr>
        <w:t xml:space="preserve">       </w:t>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04016EC4"/>
    <w:multiLevelType w:val="singleLevel"/>
    <w:tmpl w:val="04016EC4"/>
    <w:lvl w:ilvl="0" w:tentative="0">
      <w:start w:val="2"/>
      <w:numFmt w:val="decimal"/>
      <w:lvlText w:val="%1."/>
      <w:lvlJc w:val="left"/>
      <w:pPr>
        <w:tabs>
          <w:tab w:val="left" w:pos="312"/>
        </w:tabs>
      </w:pPr>
    </w:lvl>
  </w:abstractNum>
  <w:abstractNum w:abstractNumId="5">
    <w:nsid w:val="10D13824"/>
    <w:multiLevelType w:val="singleLevel"/>
    <w:tmpl w:val="10D13824"/>
    <w:lvl w:ilvl="0" w:tentative="0">
      <w:start w:val="6"/>
      <w:numFmt w:val="chineseCounting"/>
      <w:suff w:val="nothing"/>
      <w:lvlText w:val="%1、"/>
      <w:lvlJc w:val="left"/>
      <w:rPr>
        <w:rFonts w:hint="eastAsia"/>
      </w:rPr>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7BC294AD"/>
    <w:multiLevelType w:val="singleLevel"/>
    <w:tmpl w:val="7BC294AD"/>
    <w:lvl w:ilvl="0" w:tentative="0">
      <w:start w:val="5"/>
      <w:numFmt w:val="decimal"/>
      <w:suff w:val="space"/>
      <w:lvlText w:val="%1."/>
      <w:lvlJc w:val="left"/>
    </w:lvl>
  </w:abstractNum>
  <w:num w:numId="1">
    <w:abstractNumId w:val="2"/>
  </w:num>
  <w:num w:numId="2">
    <w:abstractNumId w:val="6"/>
  </w:num>
  <w:num w:numId="3">
    <w:abstractNumId w:val="0"/>
  </w:num>
  <w:num w:numId="4">
    <w:abstractNumId w:val="4"/>
  </w:num>
  <w:num w:numId="5">
    <w:abstractNumId w:val="8"/>
  </w:num>
  <w:num w:numId="6">
    <w:abstractNumId w:val="7"/>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7750F8"/>
    <w:rsid w:val="04340846"/>
    <w:rsid w:val="055F06AD"/>
    <w:rsid w:val="15027D8D"/>
    <w:rsid w:val="4B7F7DFE"/>
    <w:rsid w:val="5B2A132C"/>
    <w:rsid w:val="5ECB6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5</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2020-11-16T06:00:12Z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