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杭州品尚保安服务有限公司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0587-2020-EO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严剑江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临海市上东物业有限责任公司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2020-11-10下午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E4635"/>
    <w:rsid w:val="1A3B4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515</Words>
  <Characters>720</Characters>
  <Lines>4</Lines>
  <Paragraphs>1</Paragraphs>
  <TotalTime>38</TotalTime>
  <ScaleCrop>false</ScaleCrop>
  <LinksUpToDate>false</LinksUpToDate>
  <CharactersWithSpaces>726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2020-11-13T03:30:19Z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