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afterLines="30"/>
        <w:ind w:firstLine="321" w:firstLineChars="100"/>
        <w:rPr>
          <w:rFonts w:hint="eastAsia" w:ascii="楷体" w:hAnsi="楷体" w:eastAsia="楷体"/>
          <w:b/>
          <w:color w:val="000000"/>
          <w:sz w:val="32"/>
          <w:szCs w:val="32"/>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重庆翰海物业管理有限公司</w:t>
      </w:r>
      <w:bookmarkEnd w:id="0"/>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hint="eastAsia" w:eastAsia="楷体_GB2312"/>
          <w:sz w:val="32"/>
        </w:rPr>
      </w:pPr>
    </w:p>
    <w:p>
      <w:pPr>
        <w:snapToGrid w:val="0"/>
        <w:spacing w:line="480" w:lineRule="auto"/>
        <w:ind w:left="850"/>
        <w:rPr>
          <w:rFonts w:hint="eastAsia" w:eastAsia="楷体_GB2312"/>
          <w:sz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127"/>
        <w:gridCol w:w="565"/>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127" w:type="dxa"/>
            <w:vAlign w:val="center"/>
          </w:tcPr>
          <w:p>
            <w:pPr>
              <w:jc w:val="center"/>
              <w:rPr>
                <w:b/>
                <w:sz w:val="21"/>
                <w:szCs w:val="21"/>
              </w:rPr>
            </w:pPr>
            <w:r>
              <w:rPr>
                <w:rFonts w:hint="eastAsia"/>
                <w:b/>
                <w:sz w:val="21"/>
                <w:szCs w:val="21"/>
              </w:rPr>
              <w:t>审核员注册号</w:t>
            </w:r>
          </w:p>
        </w:tc>
        <w:tc>
          <w:tcPr>
            <w:tcW w:w="1300"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p>
            <w:pPr>
              <w:jc w:val="center"/>
              <w:rPr>
                <w:b/>
                <w:sz w:val="21"/>
                <w:szCs w:val="21"/>
              </w:rPr>
            </w:pPr>
            <w:r>
              <w:rPr>
                <w:b/>
                <w:sz w:val="21"/>
                <w:szCs w:val="21"/>
              </w:rPr>
              <w:t>E:审核员</w:t>
            </w:r>
          </w:p>
        </w:tc>
        <w:tc>
          <w:tcPr>
            <w:tcW w:w="2127" w:type="dxa"/>
            <w:vAlign w:val="center"/>
          </w:tcPr>
          <w:p>
            <w:pPr>
              <w:jc w:val="center"/>
              <w:rPr>
                <w:b/>
                <w:sz w:val="21"/>
                <w:szCs w:val="21"/>
              </w:rPr>
            </w:pPr>
            <w:r>
              <w:rPr>
                <w:b/>
                <w:sz w:val="21"/>
                <w:szCs w:val="21"/>
              </w:rPr>
              <w:t>2019-N1QMS-3093566</w:t>
            </w:r>
          </w:p>
          <w:p>
            <w:pPr>
              <w:jc w:val="center"/>
              <w:rPr>
                <w:b/>
                <w:sz w:val="21"/>
                <w:szCs w:val="21"/>
              </w:rPr>
            </w:pPr>
            <w:r>
              <w:rPr>
                <w:b/>
                <w:sz w:val="21"/>
                <w:szCs w:val="21"/>
              </w:rPr>
              <w:t>2019-N1OHSMS-2093566</w:t>
            </w:r>
          </w:p>
          <w:p>
            <w:pPr>
              <w:jc w:val="center"/>
              <w:rPr>
                <w:b/>
                <w:sz w:val="21"/>
                <w:szCs w:val="21"/>
              </w:rPr>
            </w:pPr>
            <w:r>
              <w:rPr>
                <w:b/>
                <w:sz w:val="21"/>
                <w:szCs w:val="21"/>
              </w:rPr>
              <w:t>2018-N1EMS-2093566</w:t>
            </w:r>
          </w:p>
        </w:tc>
        <w:tc>
          <w:tcPr>
            <w:tcW w:w="1300" w:type="dxa"/>
            <w:gridSpan w:val="2"/>
            <w:vAlign w:val="center"/>
          </w:tcPr>
          <w:p>
            <w:pPr>
              <w:jc w:val="center"/>
              <w:rPr>
                <w:b/>
                <w:sz w:val="21"/>
                <w:szCs w:val="21"/>
              </w:rPr>
            </w:pPr>
            <w:r>
              <w:rPr>
                <w:b/>
                <w:sz w:val="21"/>
                <w:szCs w:val="21"/>
              </w:rPr>
              <w:t>Q:35.15.00</w:t>
            </w:r>
          </w:p>
          <w:p>
            <w:pPr>
              <w:jc w:val="center"/>
              <w:rPr>
                <w:b/>
                <w:sz w:val="21"/>
                <w:szCs w:val="21"/>
              </w:rPr>
            </w:pPr>
            <w:r>
              <w:rPr>
                <w:b/>
                <w:sz w:val="21"/>
                <w:szCs w:val="21"/>
              </w:rPr>
              <w:t>O:35.15.00</w:t>
            </w:r>
          </w:p>
          <w:p>
            <w:pPr>
              <w:jc w:val="center"/>
              <w:rPr>
                <w:b/>
                <w:sz w:val="21"/>
                <w:szCs w:val="21"/>
              </w:rPr>
            </w:pPr>
            <w:r>
              <w:rPr>
                <w:b/>
                <w:sz w:val="21"/>
                <w:szCs w:val="21"/>
              </w:rPr>
              <w:t>E:35.15.00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p>
            <w:pPr>
              <w:jc w:val="center"/>
              <w:rPr>
                <w:b/>
                <w:sz w:val="21"/>
                <w:szCs w:val="21"/>
              </w:rPr>
            </w:pPr>
            <w:r>
              <w:rPr>
                <w:b/>
                <w:sz w:val="21"/>
                <w:szCs w:val="21"/>
              </w:rPr>
              <w:t>E:审核员</w:t>
            </w:r>
          </w:p>
        </w:tc>
        <w:tc>
          <w:tcPr>
            <w:tcW w:w="2127"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2018-N1OHSMS-1230067</w:t>
            </w:r>
          </w:p>
          <w:p>
            <w:pPr>
              <w:jc w:val="center"/>
              <w:rPr>
                <w:b/>
                <w:sz w:val="21"/>
                <w:szCs w:val="21"/>
              </w:rPr>
            </w:pPr>
            <w:r>
              <w:rPr>
                <w:b/>
                <w:sz w:val="21"/>
                <w:szCs w:val="21"/>
              </w:rPr>
              <w:t>2018-N1EMS-1230067</w:t>
            </w:r>
          </w:p>
        </w:tc>
        <w:tc>
          <w:tcPr>
            <w:tcW w:w="1300" w:type="dxa"/>
            <w:gridSpan w:val="2"/>
            <w:vAlign w:val="center"/>
          </w:tcPr>
          <w:p>
            <w:pPr>
              <w:jc w:val="center"/>
              <w:rPr>
                <w:b/>
                <w:sz w:val="21"/>
                <w:szCs w:val="21"/>
              </w:rPr>
            </w:pPr>
            <w:r>
              <w:rPr>
                <w:b/>
                <w:sz w:val="21"/>
                <w:szCs w:val="21"/>
              </w:rPr>
              <w:t>Q:35.15.00</w:t>
            </w:r>
          </w:p>
          <w:p>
            <w:pPr>
              <w:jc w:val="center"/>
              <w:rPr>
                <w:b/>
                <w:sz w:val="21"/>
                <w:szCs w:val="21"/>
              </w:rPr>
            </w:pPr>
            <w:r>
              <w:rPr>
                <w:b/>
                <w:sz w:val="21"/>
                <w:szCs w:val="21"/>
              </w:rPr>
              <w:t>O:35.15.00</w:t>
            </w:r>
          </w:p>
          <w:p>
            <w:pPr>
              <w:jc w:val="center"/>
              <w:rPr>
                <w:b/>
                <w:sz w:val="21"/>
                <w:szCs w:val="21"/>
              </w:rPr>
            </w:pPr>
            <w:r>
              <w:rPr>
                <w:b/>
                <w:sz w:val="21"/>
                <w:szCs w:val="21"/>
              </w:rPr>
              <w:t>E:35.15.00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2127"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1300"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127"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300"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127" w:type="dxa"/>
          </w:tcPr>
          <w:p>
            <w:pPr>
              <w:rPr>
                <w:b/>
                <w:sz w:val="21"/>
                <w:szCs w:val="21"/>
              </w:rPr>
            </w:pPr>
          </w:p>
        </w:tc>
        <w:tc>
          <w:tcPr>
            <w:tcW w:w="1300"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127" w:type="dxa"/>
          </w:tcPr>
          <w:p>
            <w:pPr>
              <w:rPr>
                <w:b/>
                <w:sz w:val="21"/>
                <w:szCs w:val="21"/>
              </w:rPr>
            </w:pPr>
          </w:p>
        </w:tc>
        <w:tc>
          <w:tcPr>
            <w:tcW w:w="1300"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127" w:type="dxa"/>
          </w:tcPr>
          <w:p>
            <w:pPr>
              <w:rPr>
                <w:b/>
                <w:sz w:val="21"/>
                <w:szCs w:val="21"/>
              </w:rPr>
            </w:pPr>
          </w:p>
        </w:tc>
        <w:tc>
          <w:tcPr>
            <w:tcW w:w="1300"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0"/>
          <w:lang w:val="de-DE"/>
        </w:rPr>
        <w:t>■</w:t>
      </w: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rFonts w:hint="eastAsia"/>
          <w:b/>
          <w:sz w:val="21"/>
          <w:szCs w:val="21"/>
        </w:rPr>
      </w:pPr>
      <w:r>
        <w:rPr>
          <w:rFonts w:hint="eastAsia"/>
          <w:b/>
          <w:sz w:val="21"/>
          <w:szCs w:val="21"/>
        </w:rPr>
        <w:t>■受审核方管理体系文件</w:t>
      </w:r>
    </w:p>
    <w:p>
      <w:pPr>
        <w:tabs>
          <w:tab w:val="left" w:pos="645"/>
        </w:tabs>
        <w:rPr>
          <w:b/>
          <w:sz w:val="21"/>
          <w:szCs w:val="21"/>
        </w:rPr>
      </w:pP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sz w:val="21"/>
              </w:rPr>
            </w:pPr>
            <w:bookmarkStart w:id="10" w:name="组织名称Add"/>
            <w:r>
              <w:rPr>
                <w:rFonts w:ascii="宋体"/>
                <w:b/>
                <w:sz w:val="21"/>
              </w:rPr>
              <w:t>重庆翰海物业管理有限公司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ascii="宋体"/>
                <w:b/>
                <w:sz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重庆市南岸区南坪西路73号16-29</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重庆市南岸区南坪西路73号16-29</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重庆市南岸区南坪西路73号16-29</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田甜</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13896868157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万根</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田甜</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2020年11月06日 上午至2020年11月06日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办公楼物业管理</w:t>
            </w:r>
            <w:bookmarkEnd w:id="24"/>
            <w:r>
              <w:rPr>
                <w:rFonts w:hint="eastAsia" w:ascii="宋体" w:hAnsi="宋体"/>
                <w:b/>
                <w:sz w:val="21"/>
                <w:szCs w:val="21"/>
              </w:rPr>
              <w:t xml:space="preserve"> </w:t>
            </w:r>
          </w:p>
          <w:p>
            <w:pPr>
              <w:spacing w:line="0" w:lineRule="atLeast"/>
              <w:jc w:val="lef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：办公楼物业管理所涉及的相关环境管理活动</w:t>
            </w:r>
          </w:p>
          <w:p>
            <w:pPr>
              <w:spacing w:line="0" w:lineRule="atLeast"/>
              <w:jc w:val="lef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：办公楼物业管理所涉及的相关职业健康安全管理活动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Q：35.15.00</w:t>
            </w:r>
          </w:p>
          <w:p>
            <w:pPr>
              <w:spacing w:line="260" w:lineRule="exact"/>
              <w:rPr>
                <w:rFonts w:ascii="宋体" w:hAnsi="宋体"/>
                <w:b/>
                <w:sz w:val="21"/>
                <w:szCs w:val="21"/>
              </w:rPr>
            </w:pPr>
            <w:r>
              <w:rPr>
                <w:rFonts w:ascii="宋体" w:hAnsi="宋体"/>
                <w:b/>
                <w:sz w:val="21"/>
                <w:szCs w:val="21"/>
              </w:rPr>
              <w:t>O：35.15.00</w:t>
            </w:r>
          </w:p>
          <w:p>
            <w:pPr>
              <w:spacing w:line="260" w:lineRule="exact"/>
              <w:rPr>
                <w:rFonts w:ascii="宋体" w:hAnsi="宋体"/>
                <w:b/>
                <w:sz w:val="21"/>
                <w:szCs w:val="21"/>
              </w:rPr>
            </w:pPr>
            <w:r>
              <w:rPr>
                <w:rFonts w:ascii="宋体" w:hAnsi="宋体"/>
                <w:b/>
                <w:sz w:val="21"/>
                <w:szCs w:val="21"/>
              </w:rPr>
              <w:t>E：35.15.00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宋体" w:hAnsi="宋体"/>
                <w:b/>
                <w:sz w:val="21"/>
                <w:szCs w:val="21"/>
              </w:rPr>
              <w:t>2022.3.19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b/>
                <w:sz w:val="21"/>
              </w:rPr>
              <w:t>2019.3.14</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流动场所信息，临时场所一个</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生产┄┄）是办公楼物业管理</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本次审核覆盖时间：从上次审核结束日的2019年3月14日至2020年11月6日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tabs>
          <w:tab w:val="left" w:pos="645"/>
        </w:tabs>
        <w:spacing w:beforeLines="100" w:afterLines="50" w:line="360" w:lineRule="exact"/>
        <w:ind w:firstLine="211" w:firstLineChars="100"/>
        <w:rPr>
          <w:rFonts w:hint="eastAsia"/>
          <w:b/>
          <w:sz w:val="26"/>
          <w:szCs w:val="26"/>
        </w:rPr>
      </w:pPr>
      <w:r>
        <w:rPr>
          <w:rFonts w:hint="eastAsia" w:ascii="宋体" w:hAnsi="宋体"/>
          <w:b/>
          <w:sz w:val="21"/>
          <w:szCs w:val="21"/>
          <w:lang w:eastAsia="zh-CN"/>
        </w:rPr>
        <w:t>□</w:t>
      </w:r>
      <w:r>
        <w:rPr>
          <w:rFonts w:hint="eastAsia" w:ascii="宋体" w:hAnsi="宋体"/>
          <w:b/>
          <w:sz w:val="21"/>
          <w:szCs w:val="21"/>
        </w:rPr>
        <w:t>未完成计划，未完成的内容和原因是</w:t>
      </w:r>
      <w:r>
        <w:rPr>
          <w:rFonts w:ascii="宋体" w:hAnsi="宋体"/>
          <w:b/>
          <w:sz w:val="21"/>
          <w:szCs w:val="21"/>
        </w:rPr>
        <w:t>:</w:t>
      </w:r>
      <w:r>
        <w:rPr>
          <w:rFonts w:hint="eastAsia"/>
          <w:b/>
          <w:sz w:val="26"/>
          <w:szCs w:val="26"/>
        </w:rPr>
        <w:t xml:space="preserve"> </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8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0" w:type="auto"/>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0" w:type="auto"/>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
                <w:sz w:val="21"/>
                <w:szCs w:val="21"/>
              </w:rPr>
            </w:pPr>
            <w:r>
              <w:rPr>
                <w:rFonts w:hint="eastAsia" w:ascii="宋体" w:hAnsi="宋体"/>
                <w:b/>
                <w:sz w:val="21"/>
                <w:szCs w:val="21"/>
              </w:rPr>
              <w:t>组织对内外部因素、相关方需求和期望进行了充分的识别，策划和实施有效。组织确定了体系的边界，基本适用。管理体系Q8.3条款不适用。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0" w:type="auto"/>
            <w:vMerge w:val="continue"/>
            <w:textDirection w:val="tbRlV"/>
            <w:vAlign w:val="center"/>
          </w:tcPr>
          <w:p>
            <w:pPr>
              <w:spacing w:line="240" w:lineRule="exact"/>
              <w:ind w:left="241" w:right="113" w:hanging="241" w:hangingChars="100"/>
              <w:jc w:val="center"/>
              <w:rPr>
                <w:rFonts w:ascii="宋体"/>
                <w:b/>
                <w:szCs w:val="21"/>
              </w:rPr>
            </w:pPr>
          </w:p>
        </w:tc>
        <w:tc>
          <w:tcPr>
            <w:tcW w:w="0" w:type="auto"/>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b/>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0" w:type="auto"/>
            <w:vMerge w:val="continue"/>
            <w:textDirection w:val="tbRlV"/>
            <w:vAlign w:val="center"/>
          </w:tcPr>
          <w:p>
            <w:pPr>
              <w:spacing w:line="240" w:lineRule="exact"/>
              <w:ind w:left="241" w:right="113" w:hanging="241" w:hangingChars="100"/>
              <w:jc w:val="center"/>
              <w:rPr>
                <w:rFonts w:ascii="宋体"/>
                <w:b/>
                <w:szCs w:val="21"/>
              </w:rPr>
            </w:pPr>
          </w:p>
        </w:tc>
        <w:tc>
          <w:tcPr>
            <w:tcW w:w="0" w:type="auto"/>
          </w:tcPr>
          <w:p>
            <w:pPr>
              <w:numPr>
                <w:ilvl w:val="0"/>
                <w:numId w:val="2"/>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jc w:val="left"/>
              <w:rPr>
                <w:rFonts w:ascii="宋体" w:hAnsi="宋体"/>
                <w:b/>
                <w:sz w:val="21"/>
                <w:szCs w:val="21"/>
              </w:rPr>
            </w:pPr>
            <w:r>
              <w:rPr>
                <w:rFonts w:hint="eastAsia" w:ascii="宋体" w:hAnsi="宋体"/>
                <w:b/>
                <w:sz w:val="21"/>
                <w:szCs w:val="21"/>
              </w:rPr>
              <w:t xml:space="preserve">最高管理者组织制定了方针：现行的管理方针在管理手册有专门的释议，具备适宜性。通过会议、张贴等方式进行传达宣贯，管理绩效表明其方针能够通过管理体系加以有效实施、实现及动态管理，实际未发生变更。质量方针： 诚实守信，客户至上；真诚合作，实现双赢 ；环境方针：遵规守法，预防污染；高效低耗，环保作业 ；职业健康安全方针： 安全第一，预防为主；健康向上，共建和谐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0" w:type="auto"/>
            <w:vMerge w:val="continue"/>
            <w:textDirection w:val="tbRlV"/>
            <w:vAlign w:val="center"/>
          </w:tcPr>
          <w:p>
            <w:pPr>
              <w:spacing w:line="240" w:lineRule="exact"/>
              <w:ind w:left="241" w:right="113" w:hanging="241" w:hangingChars="100"/>
              <w:jc w:val="center"/>
              <w:rPr>
                <w:rFonts w:ascii="宋体"/>
                <w:b/>
                <w:szCs w:val="21"/>
              </w:rPr>
            </w:pPr>
          </w:p>
        </w:tc>
        <w:tc>
          <w:tcPr>
            <w:tcW w:w="0" w:type="auto"/>
          </w:tcPr>
          <w:p>
            <w:pPr>
              <w:spacing w:line="280" w:lineRule="exact"/>
              <w:rPr>
                <w:rFonts w:ascii="宋体" w:hAnsi="宋体"/>
                <w:b/>
                <w:sz w:val="21"/>
                <w:szCs w:val="21"/>
              </w:rPr>
            </w:pPr>
            <w:r>
              <w:rPr>
                <w:rFonts w:hint="eastAsia" w:ascii="宋体" w:hAnsi="宋体"/>
                <w:b/>
                <w:sz w:val="21"/>
                <w:szCs w:val="21"/>
              </w:rPr>
              <w:t>4、风险识别与控制策划（QMS）</w:t>
            </w:r>
          </w:p>
          <w:p>
            <w:pPr>
              <w:spacing w:line="280" w:lineRule="exact"/>
              <w:rPr>
                <w:rFonts w:ascii="宋体" w:hAnsi="宋体"/>
                <w:b/>
                <w:sz w:val="21"/>
                <w:szCs w:val="21"/>
              </w:rPr>
            </w:pPr>
            <w:r>
              <w:rPr>
                <w:rFonts w:hint="eastAsia" w:ascii="宋体" w:hAnsi="宋体"/>
                <w:b/>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0" w:type="auto"/>
            <w:vMerge w:val="continue"/>
            <w:vAlign w:val="center"/>
          </w:tcPr>
          <w:p>
            <w:pPr>
              <w:spacing w:line="240" w:lineRule="exact"/>
              <w:jc w:val="center"/>
              <w:rPr>
                <w:b/>
                <w:sz w:val="20"/>
              </w:rPr>
            </w:pPr>
          </w:p>
        </w:tc>
        <w:tc>
          <w:tcPr>
            <w:tcW w:w="0" w:type="auto"/>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b/>
                <w:color w:val="000000" w:themeColor="text1"/>
                <w:sz w:val="20"/>
              </w:rPr>
              <w:t>合同评审、物业服务过程。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r>
              <w:rPr>
                <w:rFonts w:hint="eastAsia" w:ascii="宋体" w:hAnsi="宋体"/>
                <w:b/>
                <w:color w:val="000000" w:themeColor="text1"/>
                <w:sz w:val="20"/>
              </w:rPr>
              <w:t>物业服务过程</w:t>
            </w:r>
          </w:p>
          <w:p>
            <w:pPr>
              <w:tabs>
                <w:tab w:val="left" w:pos="540"/>
              </w:tabs>
              <w:spacing w:line="300" w:lineRule="exact"/>
              <w:ind w:left="211" w:hanging="211" w:hangingChars="100"/>
              <w:rPr>
                <w:rFonts w:hint="eastAsia" w:ascii="宋体" w:hAnsi="宋体"/>
                <w:b/>
                <w:color w:val="000000" w:themeColor="text1"/>
                <w:sz w:val="20"/>
                <w:szCs w:val="22"/>
              </w:rPr>
            </w:pPr>
            <w:r>
              <w:rPr>
                <w:rFonts w:hint="eastAsia" w:ascii="宋体" w:hAnsi="宋体"/>
                <w:b/>
                <w:sz w:val="21"/>
                <w:szCs w:val="21"/>
              </w:rPr>
              <w:t>需要确认过程：物业服务过程</w:t>
            </w:r>
          </w:p>
          <w:p>
            <w:pPr>
              <w:tabs>
                <w:tab w:val="left" w:pos="540"/>
              </w:tabs>
              <w:spacing w:line="300" w:lineRule="exact"/>
              <w:ind w:left="211" w:hanging="201" w:hangingChars="100"/>
              <w:rPr>
                <w:rFonts w:ascii="宋体" w:hAnsi="宋体"/>
                <w:b/>
                <w:sz w:val="21"/>
                <w:szCs w:val="21"/>
              </w:rPr>
            </w:pPr>
            <w:r>
              <w:rPr>
                <w:rFonts w:hint="eastAsia" w:ascii="宋体" w:hAnsi="宋体"/>
                <w:b/>
                <w:color w:val="000000" w:themeColor="text1"/>
                <w:sz w:val="20"/>
                <w:szCs w:val="22"/>
              </w:rPr>
              <w:t>8.3</w:t>
            </w:r>
            <w:r>
              <w:rPr>
                <w:rFonts w:hint="eastAsia" w:ascii="宋体" w:hAnsi="宋体"/>
                <w:b/>
                <w:color w:val="000000" w:themeColor="text1"/>
                <w:sz w:val="20"/>
                <w:szCs w:val="22"/>
                <w:lang w:eastAsia="zh-CN"/>
              </w:rPr>
              <w:t>不适用，</w:t>
            </w:r>
            <w:r>
              <w:rPr>
                <w:rFonts w:hint="eastAsia" w:ascii="宋体" w:hAnsi="宋体"/>
                <w:b/>
                <w:color w:val="000000" w:themeColor="text1"/>
                <w:sz w:val="20"/>
                <w:szCs w:val="22"/>
              </w:rPr>
              <w:t>理由：本公司按顾客要求、标准从事办公楼物业管理，管理模式固定，不需要承担设计和开发责任，因此对标准8.3条款不适用，基本合理。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0" w:type="auto"/>
            <w:vMerge w:val="continue"/>
            <w:vAlign w:val="center"/>
          </w:tcPr>
          <w:p>
            <w:pPr>
              <w:spacing w:line="240" w:lineRule="exact"/>
              <w:jc w:val="center"/>
              <w:rPr>
                <w:b/>
                <w:sz w:val="20"/>
              </w:rPr>
            </w:pPr>
          </w:p>
        </w:tc>
        <w:tc>
          <w:tcPr>
            <w:tcW w:w="0" w:type="auto"/>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color w:val="000000"/>
                <w:sz w:val="21"/>
                <w:szCs w:val="21"/>
              </w:rPr>
              <w:t>固废、粉尘、废水</w:t>
            </w:r>
            <w:r>
              <w:rPr>
                <w:rFonts w:hint="eastAsia" w:asciiTheme="minorEastAsia" w:hAnsiTheme="minorEastAsia" w:eastAsiaTheme="minorEastAsia"/>
                <w:bCs/>
                <w:iCs/>
                <w:sz w:val="21"/>
                <w:szCs w:val="21"/>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0" w:type="auto"/>
            <w:vMerge w:val="continue"/>
            <w:vAlign w:val="center"/>
          </w:tcPr>
          <w:p>
            <w:pPr>
              <w:spacing w:line="240" w:lineRule="exact"/>
              <w:jc w:val="center"/>
              <w:rPr>
                <w:b/>
                <w:sz w:val="20"/>
              </w:rPr>
            </w:pPr>
          </w:p>
        </w:tc>
        <w:tc>
          <w:tcPr>
            <w:tcW w:w="0" w:type="auto"/>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组织建立了危险源识别、评价控制程序，识别评价了危险源、风险相关的过程，评价出了重要危险源，与之相关的过程有物业服务，针对重要危险源制定了管理方案。控制措施实施有效。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0" w:type="auto"/>
            <w:vMerge w:val="continue"/>
            <w:vAlign w:val="center"/>
          </w:tcPr>
          <w:p>
            <w:pPr>
              <w:spacing w:line="240" w:lineRule="exact"/>
              <w:jc w:val="center"/>
              <w:rPr>
                <w:b/>
                <w:sz w:val="20"/>
              </w:rPr>
            </w:pPr>
          </w:p>
        </w:tc>
        <w:tc>
          <w:tcPr>
            <w:tcW w:w="0" w:type="auto"/>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themeColor="text1"/>
                <w:szCs w:val="21"/>
              </w:rPr>
              <w:t>培训、会议、张贴。</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0" w:type="auto"/>
            <w:vMerge w:val="continue"/>
            <w:vAlign w:val="center"/>
          </w:tcPr>
          <w:p>
            <w:pPr>
              <w:spacing w:line="240" w:lineRule="exact"/>
              <w:jc w:val="center"/>
              <w:rPr>
                <w:b/>
                <w:sz w:val="20"/>
              </w:rPr>
            </w:pPr>
          </w:p>
        </w:tc>
        <w:tc>
          <w:tcPr>
            <w:tcW w:w="0" w:type="auto"/>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Cs/>
                <w:sz w:val="21"/>
                <w:szCs w:val="21"/>
              </w:rPr>
            </w:pPr>
            <w:r>
              <w:rPr>
                <w:rFonts w:hint="eastAsia" w:ascii="宋体" w:hAnsi="宋体"/>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hint="eastAsia" w:ascii="宋体" w:hAnsi="宋体" w:cs="宋体"/>
                <w:sz w:val="21"/>
                <w:szCs w:val="21"/>
              </w:rPr>
            </w:pPr>
            <w:r>
              <w:rPr>
                <w:rFonts w:hint="eastAsia" w:ascii="宋体" w:hAnsi="宋体" w:cs="宋体"/>
                <w:sz w:val="21"/>
                <w:szCs w:val="21"/>
              </w:rPr>
              <w:t>质量目标：</w:t>
            </w:r>
          </w:p>
          <w:p>
            <w:pPr>
              <w:rPr>
                <w:rFonts w:hint="eastAsia" w:ascii="宋体" w:hAnsi="宋体" w:cs="宋体"/>
                <w:sz w:val="21"/>
                <w:szCs w:val="21"/>
              </w:rPr>
            </w:pPr>
            <w:r>
              <w:rPr>
                <w:rFonts w:hint="eastAsia" w:ascii="宋体" w:hAnsi="宋体" w:cs="宋体"/>
                <w:sz w:val="21"/>
                <w:szCs w:val="21"/>
              </w:rPr>
              <w:t>1）、业主问题处理率达到100%；；</w:t>
            </w:r>
          </w:p>
          <w:p>
            <w:pPr>
              <w:rPr>
                <w:rFonts w:hint="eastAsia" w:ascii="宋体" w:hAnsi="宋体" w:cs="宋体"/>
                <w:sz w:val="21"/>
                <w:szCs w:val="21"/>
              </w:rPr>
            </w:pPr>
            <w:r>
              <w:rPr>
                <w:rFonts w:hint="eastAsia" w:ascii="宋体" w:hAnsi="宋体" w:cs="宋体"/>
                <w:sz w:val="21"/>
                <w:szCs w:val="21"/>
              </w:rPr>
              <w:t xml:space="preserve">2）、业主投诉率0； </w:t>
            </w:r>
          </w:p>
          <w:p>
            <w:pPr>
              <w:rPr>
                <w:rFonts w:hint="eastAsia" w:ascii="宋体" w:hAnsi="宋体" w:cs="宋体"/>
                <w:sz w:val="21"/>
                <w:szCs w:val="21"/>
              </w:rPr>
            </w:pPr>
            <w:r>
              <w:rPr>
                <w:rFonts w:hint="eastAsia" w:ascii="宋体" w:hAnsi="宋体" w:cs="宋体"/>
                <w:sz w:val="21"/>
                <w:szCs w:val="21"/>
              </w:rPr>
              <w:t>3）、业主顾客满意率达到≥90%以上。</w:t>
            </w:r>
          </w:p>
          <w:p>
            <w:pPr>
              <w:rPr>
                <w:rFonts w:hint="eastAsia" w:ascii="宋体" w:hAnsi="宋体" w:cs="宋体"/>
                <w:sz w:val="21"/>
                <w:szCs w:val="21"/>
              </w:rPr>
            </w:pPr>
            <w:r>
              <w:rPr>
                <w:rFonts w:hint="eastAsia" w:ascii="宋体" w:hAnsi="宋体" w:cs="宋体"/>
                <w:sz w:val="21"/>
                <w:szCs w:val="21"/>
              </w:rPr>
              <w:t>环境目标：</w:t>
            </w:r>
          </w:p>
          <w:p>
            <w:pPr>
              <w:rPr>
                <w:rFonts w:hint="eastAsia" w:ascii="宋体" w:hAnsi="宋体" w:cs="宋体"/>
                <w:sz w:val="21"/>
                <w:szCs w:val="21"/>
              </w:rPr>
            </w:pPr>
            <w:r>
              <w:rPr>
                <w:rFonts w:hint="eastAsia" w:ascii="宋体" w:hAnsi="宋体" w:cs="宋体"/>
                <w:sz w:val="21"/>
                <w:szCs w:val="21"/>
              </w:rPr>
              <w:t>1）、固体废弃物分类处理率100%；</w:t>
            </w:r>
          </w:p>
          <w:p>
            <w:pPr>
              <w:rPr>
                <w:rFonts w:hint="eastAsia" w:ascii="宋体" w:hAnsi="宋体" w:cs="宋体"/>
                <w:sz w:val="21"/>
                <w:szCs w:val="21"/>
              </w:rPr>
            </w:pPr>
            <w:r>
              <w:rPr>
                <w:rFonts w:hint="eastAsia" w:ascii="宋体" w:hAnsi="宋体" w:cs="宋体"/>
                <w:sz w:val="21"/>
                <w:szCs w:val="21"/>
              </w:rPr>
              <w:t xml:space="preserve">2）、环境污染事故发生为零； </w:t>
            </w:r>
          </w:p>
          <w:p>
            <w:pPr>
              <w:rPr>
                <w:rFonts w:hint="eastAsia" w:ascii="宋体" w:hAnsi="宋体" w:cs="宋体"/>
                <w:sz w:val="21"/>
                <w:szCs w:val="21"/>
              </w:rPr>
            </w:pPr>
            <w:r>
              <w:rPr>
                <w:rFonts w:hint="eastAsia" w:ascii="宋体" w:hAnsi="宋体" w:cs="宋体"/>
                <w:sz w:val="21"/>
                <w:szCs w:val="21"/>
              </w:rPr>
              <w:t>3）、火灾事故为零。</w:t>
            </w:r>
          </w:p>
          <w:p>
            <w:pPr>
              <w:rPr>
                <w:rFonts w:hint="eastAsia" w:ascii="宋体" w:hAnsi="宋体"/>
                <w:sz w:val="21"/>
                <w:szCs w:val="21"/>
              </w:rPr>
            </w:pPr>
            <w:r>
              <w:rPr>
                <w:rFonts w:hint="eastAsia" w:ascii="宋体" w:hAnsi="宋体"/>
                <w:sz w:val="21"/>
                <w:szCs w:val="21"/>
              </w:rPr>
              <w:t>职业健康安全目标：</w:t>
            </w:r>
          </w:p>
          <w:p>
            <w:pPr>
              <w:rPr>
                <w:rFonts w:hint="eastAsia" w:ascii="宋体" w:hAnsi="宋体"/>
                <w:sz w:val="21"/>
                <w:szCs w:val="21"/>
              </w:rPr>
            </w:pPr>
            <w:r>
              <w:rPr>
                <w:rFonts w:hint="eastAsia" w:ascii="宋体" w:hAnsi="宋体"/>
                <w:sz w:val="21"/>
                <w:szCs w:val="21"/>
              </w:rPr>
              <w:t>1）、职业病发生为零；</w:t>
            </w:r>
          </w:p>
          <w:p>
            <w:pPr>
              <w:rPr>
                <w:rFonts w:hint="eastAsia" w:ascii="宋体" w:hAnsi="宋体"/>
                <w:sz w:val="21"/>
                <w:szCs w:val="21"/>
              </w:rPr>
            </w:pPr>
            <w:r>
              <w:rPr>
                <w:rFonts w:hint="eastAsia" w:ascii="宋体" w:hAnsi="宋体"/>
                <w:sz w:val="21"/>
                <w:szCs w:val="21"/>
              </w:rPr>
              <w:t>2）、火灾事故为零；</w:t>
            </w:r>
          </w:p>
          <w:p>
            <w:pPr>
              <w:rPr>
                <w:rFonts w:hint="eastAsia" w:ascii="宋体" w:hAnsi="宋体"/>
                <w:sz w:val="21"/>
                <w:szCs w:val="21"/>
              </w:rPr>
            </w:pPr>
            <w:r>
              <w:rPr>
                <w:rFonts w:hint="eastAsia" w:ascii="宋体" w:hAnsi="宋体"/>
                <w:sz w:val="21"/>
                <w:szCs w:val="21"/>
              </w:rPr>
              <w:t>3）、人身伤亡为零。</w:t>
            </w:r>
          </w:p>
          <w:p>
            <w:pPr>
              <w:rPr>
                <w:rFonts w:ascii="宋体" w:hAnsi="宋体"/>
                <w:b/>
                <w:szCs w:val="21"/>
              </w:rPr>
            </w:pPr>
            <w:r>
              <w:rPr>
                <w:rFonts w:hint="eastAsia" w:ascii="宋体" w:hAnsi="宋体"/>
                <w:sz w:val="21"/>
                <w:szCs w:val="21"/>
              </w:rPr>
              <w:t>2020年</w:t>
            </w:r>
            <w:r>
              <w:rPr>
                <w:rFonts w:hint="eastAsia" w:ascii="宋体" w:hAnsi="宋体"/>
                <w:sz w:val="21"/>
                <w:szCs w:val="21"/>
                <w:lang w:val="en-US" w:eastAsia="zh-CN"/>
              </w:rPr>
              <w:t>03</w:t>
            </w:r>
            <w:r>
              <w:rPr>
                <w:rFonts w:hint="eastAsia" w:ascii="宋体" w:hAnsi="宋体"/>
                <w:sz w:val="21"/>
                <w:szCs w:val="21"/>
              </w:rPr>
              <w:t>-</w:t>
            </w:r>
            <w:r>
              <w:rPr>
                <w:rFonts w:hint="eastAsia" w:ascii="宋体" w:hAnsi="宋体"/>
                <w:sz w:val="21"/>
                <w:szCs w:val="21"/>
                <w:lang w:val="en-US" w:eastAsia="zh-CN"/>
              </w:rPr>
              <w:t>08</w:t>
            </w:r>
            <w:r>
              <w:rPr>
                <w:rFonts w:hint="eastAsia" w:ascii="宋体" w:hAnsi="宋体"/>
                <w:sz w:val="21"/>
                <w:szCs w:val="21"/>
              </w:rPr>
              <w:t>月完成目标。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0" w:type="auto"/>
            <w:vMerge w:val="continue"/>
            <w:vAlign w:val="center"/>
          </w:tcPr>
          <w:p>
            <w:pPr>
              <w:spacing w:line="240" w:lineRule="exact"/>
              <w:jc w:val="center"/>
              <w:rPr>
                <w:b/>
                <w:sz w:val="20"/>
              </w:rPr>
            </w:pPr>
          </w:p>
        </w:tc>
        <w:tc>
          <w:tcPr>
            <w:tcW w:w="0" w:type="auto"/>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sz w:val="21"/>
                <w:szCs w:val="16"/>
              </w:rPr>
              <w:t>公司按照申请认证的标准要求，建立并形成了文件化的</w:t>
            </w:r>
            <w:r>
              <w:rPr>
                <w:rFonts w:hint="eastAsia" w:ascii="宋体" w:hAnsi="宋体"/>
                <w:color w:val="000000" w:themeColor="text1"/>
                <w:sz w:val="21"/>
                <w:szCs w:val="16"/>
              </w:rPr>
              <w:t>环境和职业健康安全</w:t>
            </w:r>
            <w:r>
              <w:rPr>
                <w:rFonts w:hint="eastAsia" w:ascii="宋体" w:hAnsi="宋体" w:cs="宋体"/>
                <w:color w:val="000000" w:themeColor="text1"/>
                <w:sz w:val="21"/>
                <w:szCs w:val="16"/>
              </w:rPr>
              <w:t>管理体系，体系文件对管理体系各过程进行了识别确定、明确了各要素间的相互关系及其管控要求。公司体系文件于</w:t>
            </w:r>
            <w:r>
              <w:rPr>
                <w:rFonts w:hint="eastAsia" w:ascii="宋体" w:hAnsi="宋体" w:cs="Arial"/>
                <w:color w:val="000000" w:themeColor="text1"/>
                <w:sz w:val="21"/>
                <w:szCs w:val="16"/>
              </w:rPr>
              <w:t>2018</w:t>
            </w:r>
            <w:r>
              <w:rPr>
                <w:rFonts w:hint="eastAsia" w:ascii="宋体" w:hAnsi="宋体" w:cs="宋体"/>
                <w:color w:val="000000" w:themeColor="text1"/>
                <w:sz w:val="21"/>
                <w:szCs w:val="16"/>
              </w:rPr>
              <w:t>年10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0" w:type="auto"/>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0" w:type="auto"/>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540"/>
              </w:tabs>
              <w:spacing w:line="240" w:lineRule="exact"/>
              <w:ind w:firstLine="420" w:firstLineChars="200"/>
              <w:rPr>
                <w:rFonts w:hint="eastAsia" w:ascii="宋体" w:hAnsi="宋体" w:cs="宋体"/>
                <w:color w:val="000000" w:themeColor="text1"/>
                <w:sz w:val="21"/>
                <w:szCs w:val="16"/>
              </w:rPr>
            </w:pPr>
            <w:r>
              <w:rPr>
                <w:rFonts w:hint="eastAsia" w:ascii="宋体" w:hAnsi="宋体" w:cs="宋体"/>
                <w:color w:val="000000" w:themeColor="text1"/>
                <w:sz w:val="21"/>
                <w:szCs w:val="16"/>
              </w:rPr>
              <w:t>组织按管理体系需求配置了充足的人员、设施、监视和测量设备等资源，并建立维持了办公楼物业管理及相关服务运行环境，可以维持管理体系的正常运行。</w:t>
            </w:r>
          </w:p>
          <w:p>
            <w:pPr>
              <w:tabs>
                <w:tab w:val="left" w:pos="540"/>
              </w:tabs>
              <w:spacing w:line="240" w:lineRule="exact"/>
              <w:rPr>
                <w:rFonts w:ascii="宋体" w:hAnsi="宋体"/>
                <w:b/>
                <w:sz w:val="21"/>
                <w:szCs w:val="21"/>
              </w:rPr>
            </w:pPr>
            <w:r>
              <w:rPr>
                <w:rFonts w:hint="eastAsia" w:ascii="宋体" w:hAnsi="宋体" w:cs="宋体"/>
                <w:color w:val="000000" w:themeColor="text1"/>
                <w:sz w:val="21"/>
                <w:szCs w:val="16"/>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0" w:type="auto"/>
            <w:vMerge w:val="continue"/>
            <w:textDirection w:val="tbRlV"/>
            <w:vAlign w:val="center"/>
          </w:tcPr>
          <w:p>
            <w:pPr>
              <w:spacing w:line="240" w:lineRule="exact"/>
              <w:ind w:left="113" w:right="113"/>
              <w:jc w:val="center"/>
              <w:rPr>
                <w:b/>
                <w:szCs w:val="21"/>
              </w:rPr>
            </w:pPr>
          </w:p>
        </w:tc>
        <w:tc>
          <w:tcPr>
            <w:tcW w:w="0" w:type="auto"/>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ind w:firstLine="420" w:firstLineChars="200"/>
              <w:rPr>
                <w:rFonts w:ascii="宋体" w:hAnsi="宋体"/>
                <w:b/>
                <w:sz w:val="21"/>
                <w:szCs w:val="21"/>
              </w:rPr>
            </w:pPr>
            <w:r>
              <w:rPr>
                <w:rFonts w:hint="eastAsia" w:ascii="宋体" w:hAnsi="宋体"/>
                <w:sz w:val="21"/>
                <w:szCs w:val="21"/>
              </w:rPr>
              <w:t>办公场所面积100平方左右。</w:t>
            </w:r>
            <w:r>
              <w:rPr>
                <w:rFonts w:hint="eastAsia" w:ascii="宋体" w:hAnsi="宋体" w:cs="宋体"/>
                <w:sz w:val="21"/>
                <w:szCs w:val="21"/>
              </w:rPr>
              <w:t>主要服务设备</w:t>
            </w:r>
            <w:r>
              <w:rPr>
                <w:rFonts w:hint="eastAsia"/>
                <w:sz w:val="21"/>
                <w:szCs w:val="21"/>
                <w:lang w:val="en-US" w:eastAsia="zh-CN"/>
              </w:rPr>
              <w:t>主要设备为办公设备、电</w:t>
            </w:r>
            <w:r>
              <w:rPr>
                <w:rFonts w:hint="eastAsia"/>
                <w:sz w:val="21"/>
                <w:szCs w:val="21"/>
              </w:rPr>
              <w:t>脑、</w:t>
            </w:r>
            <w:r>
              <w:rPr>
                <w:rFonts w:hint="eastAsia" w:ascii="宋体" w:hAnsi="宋体" w:cs="宋体"/>
                <w:sz w:val="21"/>
                <w:szCs w:val="21"/>
              </w:rPr>
              <w:t>冲地</w:t>
            </w:r>
            <w:r>
              <w:rPr>
                <w:rStyle w:val="14"/>
                <w:rFonts w:hint="eastAsia" w:ascii="宋体" w:hAnsi="宋体"/>
                <w:color w:val="auto"/>
                <w:sz w:val="21"/>
                <w:szCs w:val="21"/>
              </w:rPr>
              <w:t>机、</w:t>
            </w:r>
            <w:r>
              <w:rPr>
                <w:rStyle w:val="14"/>
                <w:rFonts w:hint="eastAsia" w:ascii="宋体" w:hAnsi="宋体"/>
                <w:color w:val="auto"/>
                <w:sz w:val="21"/>
                <w:szCs w:val="21"/>
                <w:lang w:eastAsia="zh-CN"/>
              </w:rPr>
              <w:t>巡更棒</w:t>
            </w:r>
            <w:r>
              <w:rPr>
                <w:rStyle w:val="14"/>
                <w:rFonts w:hint="eastAsia" w:ascii="宋体" w:hAnsi="宋体"/>
                <w:color w:val="auto"/>
                <w:sz w:val="21"/>
                <w:szCs w:val="21"/>
              </w:rPr>
              <w:t>、</w:t>
            </w:r>
            <w:r>
              <w:rPr>
                <w:rStyle w:val="14"/>
                <w:rFonts w:hint="eastAsia" w:ascii="宋体" w:hAnsi="宋体"/>
                <w:color w:val="auto"/>
                <w:sz w:val="21"/>
                <w:szCs w:val="21"/>
                <w:lang w:eastAsia="zh-CN"/>
              </w:rPr>
              <w:t>盾牌</w:t>
            </w:r>
            <w:r>
              <w:rPr>
                <w:rStyle w:val="14"/>
                <w:rFonts w:hint="eastAsia" w:ascii="宋体" w:hAnsi="宋体"/>
                <w:color w:val="auto"/>
                <w:sz w:val="21"/>
                <w:szCs w:val="21"/>
              </w:rPr>
              <w:t>、对讲机、清洁工具等</w:t>
            </w:r>
            <w:r>
              <w:rPr>
                <w:rFonts w:hint="eastAsia" w:ascii="宋体" w:hAnsi="宋体"/>
                <w:sz w:val="21"/>
                <w:szCs w:val="21"/>
              </w:rPr>
              <w:t>，可以满足</w:t>
            </w:r>
            <w:r>
              <w:rPr>
                <w:rFonts w:hint="eastAsia" w:ascii="Helvetica" w:hAnsi="Helvetica" w:cs="Helvetica"/>
                <w:sz w:val="21"/>
                <w:szCs w:val="21"/>
                <w:shd w:val="clear" w:color="auto" w:fill="FFFFFF"/>
              </w:rPr>
              <w:t>物业服务</w:t>
            </w:r>
            <w:r>
              <w:rPr>
                <w:rFonts w:hint="eastAsia" w:ascii="宋体" w:hAnsi="宋体"/>
                <w:sz w:val="21"/>
                <w:szCs w:val="21"/>
              </w:rPr>
              <w:t>的需要</w:t>
            </w:r>
            <w:r>
              <w:rPr>
                <w:rFonts w:hint="eastAsia" w:ascii="宋体" w:hAnsi="宋体" w:cs="宋体"/>
                <w:sz w:val="21"/>
                <w:szCs w:val="21"/>
              </w:rPr>
              <w:t>。对设备按月方式进行点检维护保养，并实施。特种设备：无。公司未建立信息管理系统用于服务。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0" w:type="auto"/>
            <w:vMerge w:val="continue"/>
            <w:textDirection w:val="tbRlV"/>
            <w:vAlign w:val="center"/>
          </w:tcPr>
          <w:p>
            <w:pPr>
              <w:spacing w:line="240" w:lineRule="exact"/>
              <w:ind w:left="113" w:right="113"/>
              <w:jc w:val="center"/>
              <w:rPr>
                <w:b/>
                <w:szCs w:val="21"/>
              </w:rPr>
            </w:pPr>
          </w:p>
        </w:tc>
        <w:tc>
          <w:tcPr>
            <w:tcW w:w="0" w:type="auto"/>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420" w:firstLineChars="200"/>
              <w:rPr>
                <w:rFonts w:ascii="宋体" w:hAnsi="宋体"/>
                <w:b/>
                <w:color w:val="000000" w:themeColor="text1"/>
                <w:sz w:val="21"/>
                <w:szCs w:val="21"/>
              </w:rPr>
            </w:pPr>
            <w:r>
              <w:rPr>
                <w:rFonts w:hint="eastAsia" w:ascii="宋体" w:hAnsi="宋体" w:cs="宋体"/>
                <w:sz w:val="21"/>
                <w:szCs w:val="21"/>
              </w:rPr>
              <w:t>办公场所和内设备布置合理，通道畅通，照明设施齐全，均配备了消防设施等设施。办公室明亮，培训场所光线较充足。每月由</w:t>
            </w:r>
            <w:r>
              <w:rPr>
                <w:rFonts w:hint="eastAsia" w:ascii="宋体" w:hAnsi="宋体" w:cs="宋体"/>
                <w:sz w:val="21"/>
                <w:szCs w:val="21"/>
                <w:lang w:eastAsia="zh-CN"/>
              </w:rPr>
              <w:t>行政部</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0" w:type="auto"/>
            <w:vMerge w:val="continue"/>
            <w:textDirection w:val="tbRlV"/>
            <w:vAlign w:val="center"/>
          </w:tcPr>
          <w:p>
            <w:pPr>
              <w:spacing w:line="240" w:lineRule="exact"/>
              <w:ind w:left="113" w:right="113"/>
              <w:jc w:val="center"/>
              <w:rPr>
                <w:b/>
                <w:szCs w:val="21"/>
              </w:rPr>
            </w:pPr>
          </w:p>
        </w:tc>
        <w:tc>
          <w:tcPr>
            <w:tcW w:w="0" w:type="auto"/>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240" w:lineRule="exact"/>
              <w:rPr>
                <w:rFonts w:ascii="宋体" w:hAnsi="宋体"/>
                <w:b/>
                <w:color w:val="000000" w:themeColor="text1"/>
                <w:sz w:val="21"/>
                <w:szCs w:val="21"/>
              </w:rPr>
            </w:pPr>
            <w:r>
              <w:rPr>
                <w:rFonts w:hint="eastAsia" w:ascii="宋体" w:hAnsi="宋体" w:cs="宋体"/>
                <w:sz w:val="21"/>
                <w:szCs w:val="21"/>
              </w:rPr>
              <w:t>暂未配置监测设备，采取人为检查和考评的方式进行。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0" w:type="auto"/>
            <w:vMerge w:val="continue"/>
            <w:textDirection w:val="tbRlV"/>
            <w:vAlign w:val="center"/>
          </w:tcPr>
          <w:p>
            <w:pPr>
              <w:spacing w:line="240" w:lineRule="exact"/>
              <w:ind w:left="113" w:right="113"/>
              <w:jc w:val="center"/>
              <w:rPr>
                <w:b/>
                <w:szCs w:val="21"/>
              </w:rPr>
            </w:pPr>
          </w:p>
        </w:tc>
        <w:tc>
          <w:tcPr>
            <w:tcW w:w="0" w:type="auto"/>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0" w:type="auto"/>
            <w:vMerge w:val="continue"/>
            <w:textDirection w:val="tbRlV"/>
            <w:vAlign w:val="center"/>
          </w:tcPr>
          <w:p>
            <w:pPr>
              <w:spacing w:line="240" w:lineRule="exact"/>
              <w:ind w:left="113" w:right="113"/>
              <w:jc w:val="center"/>
              <w:rPr>
                <w:b/>
                <w:szCs w:val="21"/>
              </w:rPr>
            </w:pPr>
          </w:p>
        </w:tc>
        <w:tc>
          <w:tcPr>
            <w:tcW w:w="0" w:type="auto"/>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0" w:type="auto"/>
            <w:vMerge w:val="continue"/>
            <w:textDirection w:val="tbRlV"/>
            <w:vAlign w:val="center"/>
          </w:tcPr>
          <w:p>
            <w:pPr>
              <w:spacing w:line="240" w:lineRule="exact"/>
              <w:ind w:left="113" w:right="113"/>
              <w:jc w:val="center"/>
              <w:rPr>
                <w:b/>
                <w:szCs w:val="21"/>
              </w:rPr>
            </w:pPr>
          </w:p>
        </w:tc>
        <w:tc>
          <w:tcPr>
            <w:tcW w:w="0" w:type="auto"/>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0" w:type="auto"/>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0" w:type="auto"/>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0" w:type="auto"/>
            <w:vMerge w:val="continue"/>
            <w:vAlign w:val="center"/>
          </w:tcPr>
          <w:p>
            <w:pPr>
              <w:spacing w:line="240" w:lineRule="exact"/>
              <w:jc w:val="center"/>
              <w:rPr>
                <w:b/>
                <w:szCs w:val="21"/>
              </w:rPr>
            </w:pPr>
          </w:p>
        </w:tc>
        <w:tc>
          <w:tcPr>
            <w:tcW w:w="0" w:type="auto"/>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Cs/>
                <w:sz w:val="21"/>
                <w:szCs w:val="21"/>
              </w:rPr>
            </w:pPr>
            <w:r>
              <w:rPr>
                <w:rFonts w:hint="eastAsia" w:ascii="宋体" w:hAnsi="宋体"/>
                <w:b/>
                <w:sz w:val="21"/>
                <w:szCs w:val="21"/>
              </w:rPr>
              <w:t>内部沟通的情况：内部沟通方式：</w:t>
            </w:r>
            <w:r>
              <w:rPr>
                <w:rFonts w:hint="eastAsia" w:ascii="宋体" w:hAnsi="宋体"/>
                <w:bCs/>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b/>
                <w:sz w:val="21"/>
                <w:szCs w:val="21"/>
              </w:rPr>
            </w:pPr>
            <w:r>
              <w:rPr>
                <w:rFonts w:hint="eastAsia" w:ascii="宋体" w:hAnsi="宋体"/>
                <w:b/>
                <w:sz w:val="21"/>
                <w:szCs w:val="21"/>
              </w:rPr>
              <w:t>内部沟通的效果：良好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bCs/>
                <w:sz w:val="21"/>
                <w:szCs w:val="21"/>
              </w:rPr>
              <w:t>采取顾客满意度调查方式了解顾客感受。</w:t>
            </w:r>
          </w:p>
          <w:p>
            <w:pPr>
              <w:spacing w:line="240" w:lineRule="exact"/>
              <w:rPr>
                <w:rFonts w:ascii="宋体" w:hAnsi="宋体"/>
                <w:b/>
                <w:sz w:val="21"/>
                <w:szCs w:val="21"/>
              </w:rPr>
            </w:pPr>
          </w:p>
          <w:p>
            <w:pPr>
              <w:spacing w:line="240" w:lineRule="exact"/>
              <w:rPr>
                <w:rFonts w:hint="eastAsia" w:ascii="宋体" w:hAnsi="宋体"/>
                <w:bCs/>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bCs/>
                <w:sz w:val="21"/>
                <w:szCs w:val="21"/>
              </w:rPr>
              <w:t>对会议通知和规定等登记处理</w:t>
            </w:r>
          </w:p>
          <w:p>
            <w:pPr>
              <w:spacing w:line="240" w:lineRule="exact"/>
              <w:rPr>
                <w:rFonts w:ascii="宋体" w:hAnsi="宋体"/>
                <w:b/>
                <w:sz w:val="21"/>
                <w:szCs w:val="21"/>
              </w:rPr>
            </w:pPr>
          </w:p>
          <w:p>
            <w:pPr>
              <w:spacing w:line="240" w:lineRule="exact"/>
              <w:rPr>
                <w:rFonts w:ascii="宋体" w:hAnsi="宋体"/>
                <w:bCs/>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bCs/>
                <w:sz w:val="21"/>
                <w:szCs w:val="21"/>
              </w:rPr>
              <w:t>主要通过网络、交流及公开信、合同等方式进行，并达成一致性意见实施有效控制</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cs="Arial"/>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0" w:type="auto"/>
            <w:vMerge w:val="continue"/>
            <w:vAlign w:val="center"/>
          </w:tcPr>
          <w:p>
            <w:pPr>
              <w:spacing w:line="240" w:lineRule="exact"/>
              <w:jc w:val="center"/>
              <w:rPr>
                <w:b/>
                <w:szCs w:val="21"/>
              </w:rPr>
            </w:pPr>
          </w:p>
        </w:tc>
        <w:tc>
          <w:tcPr>
            <w:tcW w:w="0" w:type="auto"/>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w:t>
            </w:r>
            <w:r>
              <w:rPr>
                <w:rFonts w:hint="eastAsia" w:ascii="宋体" w:hAnsi="宋体" w:cs="宋体"/>
                <w:color w:val="000000"/>
                <w:sz w:val="21"/>
                <w:szCs w:val="21"/>
                <w:lang w:eastAsia="zh-CN"/>
              </w:rPr>
              <w:t>服务</w:t>
            </w:r>
            <w:r>
              <w:rPr>
                <w:rFonts w:hint="eastAsia" w:ascii="宋体" w:hAnsi="宋体" w:cs="宋体"/>
                <w:color w:val="000000"/>
                <w:sz w:val="21"/>
                <w:szCs w:val="21"/>
              </w:rPr>
              <w:t>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0" w:type="auto"/>
            <w:vMerge w:val="continue"/>
            <w:vAlign w:val="center"/>
          </w:tcPr>
          <w:p>
            <w:pPr>
              <w:spacing w:line="240" w:lineRule="exact"/>
              <w:jc w:val="center"/>
              <w:rPr>
                <w:b/>
                <w:szCs w:val="21"/>
              </w:rPr>
            </w:pPr>
          </w:p>
        </w:tc>
        <w:tc>
          <w:tcPr>
            <w:tcW w:w="0" w:type="auto"/>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0" w:type="auto"/>
            <w:vMerge w:val="continue"/>
            <w:vAlign w:val="center"/>
          </w:tcPr>
          <w:p>
            <w:pPr>
              <w:spacing w:line="240" w:lineRule="exact"/>
              <w:jc w:val="center"/>
              <w:rPr>
                <w:b/>
                <w:szCs w:val="21"/>
              </w:rPr>
            </w:pPr>
          </w:p>
        </w:tc>
        <w:tc>
          <w:tcPr>
            <w:tcW w:w="0" w:type="auto"/>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r>
              <w:rPr>
                <w:rFonts w:hint="eastAsia" w:ascii="宋体" w:hAnsi="宋体"/>
                <w:b/>
                <w:sz w:val="21"/>
                <w:szCs w:val="21"/>
              </w:rPr>
              <w:t>无</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0" w:type="auto"/>
            <w:vMerge w:val="continue"/>
            <w:vAlign w:val="center"/>
          </w:tcPr>
          <w:p>
            <w:pPr>
              <w:spacing w:line="240" w:lineRule="exact"/>
              <w:jc w:val="center"/>
              <w:rPr>
                <w:b/>
                <w:szCs w:val="21"/>
              </w:rPr>
            </w:pPr>
          </w:p>
        </w:tc>
        <w:tc>
          <w:tcPr>
            <w:tcW w:w="0" w:type="auto"/>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0" w:type="auto"/>
            <w:vMerge w:val="continue"/>
            <w:vAlign w:val="center"/>
          </w:tcPr>
          <w:p>
            <w:pPr>
              <w:spacing w:line="240" w:lineRule="exact"/>
              <w:jc w:val="center"/>
              <w:rPr>
                <w:b/>
                <w:szCs w:val="21"/>
              </w:rPr>
            </w:pPr>
          </w:p>
        </w:tc>
        <w:tc>
          <w:tcPr>
            <w:tcW w:w="0" w:type="auto"/>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16"/>
              </w:rPr>
              <w:t>组织重要环境因素为</w:t>
            </w:r>
            <w:r>
              <w:rPr>
                <w:rFonts w:hint="eastAsia" w:ascii="宋体" w:hAnsi="宋体"/>
                <w:color w:val="000000"/>
                <w:sz w:val="21"/>
                <w:szCs w:val="21"/>
              </w:rPr>
              <w:t>火灾、固废、粉尘、废水排放</w:t>
            </w:r>
            <w:r>
              <w:rPr>
                <w:rFonts w:hint="eastAsia" w:asciiTheme="minorEastAsia" w:hAnsiTheme="minorEastAsia" w:eastAsiaTheme="minorEastAsia"/>
                <w:bCs/>
                <w:iCs/>
                <w:sz w:val="21"/>
                <w:szCs w:val="16"/>
              </w:rPr>
              <w:t>，需要应对的风险和机遇相关的过程为</w:t>
            </w:r>
            <w:r>
              <w:rPr>
                <w:rFonts w:hint="eastAsia" w:asciiTheme="minorEastAsia" w:hAnsiTheme="minorEastAsia" w:eastAsiaTheme="minorEastAsia"/>
                <w:bCs/>
                <w:iCs/>
                <w:sz w:val="21"/>
                <w:szCs w:val="16"/>
                <w:lang w:eastAsia="zh-CN"/>
              </w:rPr>
              <w:t>服务</w:t>
            </w:r>
            <w:r>
              <w:rPr>
                <w:rFonts w:hint="eastAsia" w:asciiTheme="minorEastAsia" w:hAnsiTheme="minorEastAsia" w:eastAsiaTheme="minorEastAsia"/>
                <w:bCs/>
                <w:iCs/>
                <w:sz w:val="21"/>
                <w:szCs w:val="16"/>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vAlign w:val="center"/>
          </w:tcPr>
          <w:p>
            <w:pPr>
              <w:spacing w:line="240" w:lineRule="exact"/>
              <w:jc w:val="center"/>
              <w:rPr>
                <w:b/>
                <w:szCs w:val="21"/>
              </w:rPr>
            </w:pPr>
          </w:p>
        </w:tc>
        <w:tc>
          <w:tcPr>
            <w:tcW w:w="0" w:type="auto"/>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16"/>
              </w:rPr>
            </w:pPr>
            <w:r>
              <w:rPr>
                <w:rFonts w:hint="eastAsia" w:asciiTheme="minorEastAsia" w:hAnsiTheme="minorEastAsia" w:eastAsiaTheme="minorEastAsia"/>
                <w:bCs/>
                <w:iCs/>
                <w:sz w:val="21"/>
                <w:szCs w:val="16"/>
              </w:rPr>
              <w:t>组织建立了危险源识别、评价控制程序，识别评价了危险源、风险相关的过程，评价出了重要危险源：</w:t>
            </w:r>
            <w:r>
              <w:rPr>
                <w:rFonts w:hint="eastAsia" w:ascii="宋体" w:hAnsi="宋体"/>
                <w:color w:val="000000"/>
                <w:sz w:val="21"/>
                <w:szCs w:val="21"/>
              </w:rPr>
              <w:t>火灾、触电、中暑、物理伤害、职业病</w:t>
            </w:r>
            <w:r>
              <w:rPr>
                <w:rFonts w:hint="eastAsia" w:asciiTheme="minorEastAsia" w:hAnsiTheme="minorEastAsia" w:eastAsiaTheme="minorEastAsia"/>
                <w:bCs/>
                <w:iCs/>
                <w:sz w:val="21"/>
                <w:szCs w:val="16"/>
              </w:rPr>
              <w:t>，与之相关的过程有服务、信息处理过程，针对不可接受风险制定了管理方案。控制措施实施有效。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0" w:type="auto"/>
            <w:vMerge w:val="continue"/>
            <w:vAlign w:val="center"/>
          </w:tcPr>
          <w:p>
            <w:pPr>
              <w:spacing w:line="240" w:lineRule="exact"/>
              <w:jc w:val="center"/>
              <w:rPr>
                <w:b/>
                <w:szCs w:val="21"/>
              </w:rPr>
            </w:pPr>
          </w:p>
        </w:tc>
        <w:tc>
          <w:tcPr>
            <w:tcW w:w="0" w:type="auto"/>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20" w:firstLineChars="200"/>
              <w:rPr>
                <w:rFonts w:ascii="宋体" w:hAnsi="宋体"/>
                <w:b/>
                <w:sz w:val="21"/>
                <w:szCs w:val="21"/>
              </w:rPr>
            </w:pPr>
            <w:r>
              <w:rPr>
                <w:rFonts w:hint="eastAsia" w:ascii="宋体" w:hAnsi="宋体"/>
                <w:b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0" w:type="auto"/>
            <w:vMerge w:val="continue"/>
            <w:vAlign w:val="center"/>
          </w:tcPr>
          <w:p>
            <w:pPr>
              <w:spacing w:line="240" w:lineRule="exact"/>
              <w:jc w:val="center"/>
              <w:rPr>
                <w:b/>
                <w:szCs w:val="21"/>
              </w:rPr>
            </w:pPr>
          </w:p>
        </w:tc>
        <w:tc>
          <w:tcPr>
            <w:tcW w:w="0" w:type="auto"/>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0" w:type="auto"/>
            <w:vMerge w:val="continue"/>
            <w:vAlign w:val="center"/>
          </w:tcPr>
          <w:p>
            <w:pPr>
              <w:spacing w:line="240" w:lineRule="exact"/>
              <w:jc w:val="center"/>
              <w:rPr>
                <w:b/>
                <w:szCs w:val="21"/>
              </w:rPr>
            </w:pPr>
          </w:p>
        </w:tc>
        <w:tc>
          <w:tcPr>
            <w:tcW w:w="0" w:type="auto"/>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对危险化学品销售、使用、储存、物业服务处置，规定的执行力度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0" w:type="auto"/>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0" w:type="auto"/>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bCs/>
                <w:sz w:val="21"/>
                <w:szCs w:val="21"/>
                <w:lang w:val="en-US" w:eastAsia="zh-CN"/>
              </w:rPr>
              <w:t>3</w:t>
            </w:r>
            <w:r>
              <w:rPr>
                <w:rFonts w:hint="eastAsia" w:ascii="宋体" w:hAnsi="宋体"/>
                <w:bCs/>
                <w:sz w:val="21"/>
                <w:szCs w:val="21"/>
              </w:rPr>
              <w:t>-</w:t>
            </w:r>
            <w:r>
              <w:rPr>
                <w:rFonts w:hint="eastAsia" w:ascii="宋体" w:hAnsi="宋体"/>
                <w:bCs/>
                <w:sz w:val="21"/>
                <w:szCs w:val="21"/>
                <w:lang w:val="en-US" w:eastAsia="zh-CN"/>
              </w:rPr>
              <w:t>8</w:t>
            </w:r>
            <w:r>
              <w:rPr>
                <w:rFonts w:hint="eastAsia" w:ascii="宋体" w:hAnsi="宋体"/>
                <w:bCs/>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0" w:type="auto"/>
            <w:vMerge w:val="continue"/>
            <w:textDirection w:val="tbRlV"/>
            <w:vAlign w:val="center"/>
          </w:tcPr>
          <w:p>
            <w:pPr>
              <w:spacing w:line="240" w:lineRule="exact"/>
              <w:ind w:left="113" w:right="113"/>
              <w:jc w:val="center"/>
              <w:rPr>
                <w:b/>
                <w:szCs w:val="21"/>
              </w:rPr>
            </w:pPr>
          </w:p>
        </w:tc>
        <w:tc>
          <w:tcPr>
            <w:tcW w:w="0" w:type="auto"/>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firstLine="420" w:firstLineChars="200"/>
              <w:rPr>
                <w:rFonts w:ascii="宋体" w:hAnsi="宋体"/>
                <w:b/>
                <w:sz w:val="21"/>
                <w:szCs w:val="21"/>
              </w:rPr>
            </w:pPr>
            <w:r>
              <w:rPr>
                <w:rFonts w:hint="eastAsia" w:ascii="宋体" w:hAnsi="宋体"/>
                <w:b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bCs/>
                <w:sz w:val="21"/>
                <w:szCs w:val="21"/>
                <w:lang w:val="en-US" w:eastAsia="zh-CN"/>
              </w:rPr>
              <w:t>19</w:t>
            </w:r>
            <w:r>
              <w:rPr>
                <w:rFonts w:hint="eastAsia" w:ascii="宋体" w:hAnsi="宋体"/>
                <w:bCs/>
                <w:sz w:val="21"/>
                <w:szCs w:val="21"/>
              </w:rPr>
              <w:t>年</w:t>
            </w:r>
            <w:r>
              <w:rPr>
                <w:rFonts w:hint="eastAsia" w:ascii="宋体" w:hAnsi="宋体"/>
                <w:bCs/>
                <w:sz w:val="21"/>
                <w:szCs w:val="21"/>
                <w:lang w:val="en-US" w:eastAsia="zh-CN"/>
              </w:rPr>
              <w:t>11</w:t>
            </w:r>
            <w:r>
              <w:rPr>
                <w:rFonts w:hint="eastAsia" w:ascii="宋体" w:hAnsi="宋体"/>
                <w:bCs/>
                <w:sz w:val="21"/>
                <w:szCs w:val="21"/>
              </w:rPr>
              <w:t>月实施，满意度评价9</w:t>
            </w:r>
            <w:r>
              <w:rPr>
                <w:rFonts w:hint="eastAsia" w:ascii="宋体" w:hAnsi="宋体"/>
                <w:bCs/>
                <w:sz w:val="21"/>
                <w:szCs w:val="21"/>
                <w:lang w:val="en-US" w:eastAsia="zh-CN"/>
              </w:rPr>
              <w:t>7</w:t>
            </w:r>
            <w:r>
              <w:rPr>
                <w:rFonts w:hint="eastAsia" w:ascii="宋体" w:hAnsi="宋体"/>
                <w:bCs/>
                <w:sz w:val="2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0" w:type="auto"/>
            <w:vMerge w:val="continue"/>
            <w:textDirection w:val="tbRlV"/>
            <w:vAlign w:val="center"/>
          </w:tcPr>
          <w:p>
            <w:pPr>
              <w:spacing w:line="240" w:lineRule="exact"/>
              <w:ind w:left="113" w:right="113"/>
              <w:jc w:val="center"/>
              <w:rPr>
                <w:b/>
                <w:szCs w:val="21"/>
              </w:rPr>
            </w:pPr>
          </w:p>
        </w:tc>
        <w:tc>
          <w:tcPr>
            <w:tcW w:w="0" w:type="auto"/>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left="-120" w:leftChars="-50" w:firstLine="420" w:firstLineChars="200"/>
              <w:rPr>
                <w:rFonts w:ascii="宋体" w:hAnsi="宋体"/>
                <w:b/>
                <w:sz w:val="21"/>
                <w:szCs w:val="21"/>
              </w:rPr>
            </w:pPr>
            <w:r>
              <w:rPr>
                <w:rFonts w:hint="eastAsia" w:ascii="宋体" w:hAnsi="宋体" w:eastAsia="宋体" w:cs="Times New Roman"/>
                <w:bCs/>
                <w:sz w:val="21"/>
                <w:szCs w:val="21"/>
              </w:rPr>
              <w:t>建立有《内部审核控制程</w:t>
            </w:r>
            <w:r>
              <w:rPr>
                <w:rFonts w:hint="eastAsia" w:ascii="宋体" w:hAnsi="宋体" w:eastAsia="宋体" w:cs="Times New Roman"/>
                <w:bCs/>
                <w:sz w:val="21"/>
                <w:szCs w:val="21"/>
              </w:rPr>
              <w:t>序》，规定了内审频次一年一次，内审时间：20</w:t>
            </w:r>
            <w:r>
              <w:rPr>
                <w:rFonts w:hint="eastAsia" w:ascii="宋体" w:hAnsi="宋体" w:eastAsia="宋体" w:cs="Times New Roman"/>
                <w:bCs/>
                <w:sz w:val="21"/>
                <w:szCs w:val="21"/>
                <w:lang w:val="en-US" w:eastAsia="zh-CN"/>
              </w:rPr>
              <w:t>19</w:t>
            </w:r>
            <w:r>
              <w:rPr>
                <w:rFonts w:hint="eastAsia" w:ascii="宋体" w:hAnsi="宋体" w:eastAsia="宋体" w:cs="Times New Roman"/>
                <w:bCs/>
                <w:sz w:val="21"/>
                <w:szCs w:val="21"/>
              </w:rPr>
              <w:t>年</w:t>
            </w:r>
            <w:r>
              <w:rPr>
                <w:rFonts w:hint="eastAsia" w:ascii="宋体" w:hAnsi="宋体" w:eastAsia="宋体" w:cs="Times New Roman"/>
                <w:bCs/>
                <w:sz w:val="21"/>
                <w:szCs w:val="21"/>
                <w:lang w:val="en-US" w:eastAsia="zh-CN"/>
              </w:rPr>
              <w:t>12</w:t>
            </w:r>
            <w:r>
              <w:rPr>
                <w:rFonts w:hint="eastAsia" w:ascii="宋体" w:hAnsi="宋体" w:eastAsia="宋体" w:cs="Times New Roman"/>
                <w:bCs/>
                <w:sz w:val="21"/>
                <w:szCs w:val="21"/>
              </w:rPr>
              <w:t>月</w:t>
            </w:r>
            <w:r>
              <w:rPr>
                <w:rFonts w:hint="eastAsia" w:ascii="宋体" w:hAnsi="宋体" w:eastAsia="宋体" w:cs="Times New Roman"/>
                <w:bCs/>
                <w:sz w:val="21"/>
                <w:szCs w:val="21"/>
                <w:lang w:val="en-US" w:eastAsia="zh-CN"/>
              </w:rPr>
              <w:t>24-25</w:t>
            </w:r>
            <w:r>
              <w:rPr>
                <w:rFonts w:hint="eastAsia" w:ascii="宋体" w:hAnsi="宋体" w:eastAsia="宋体" w:cs="Times New Roman"/>
                <w:bCs/>
                <w:sz w:val="21"/>
                <w:szCs w:val="21"/>
              </w:rPr>
              <w:t>日，拟定了审核实施表，明确了内审范围，内审人员经培训合格上岗，能力满足要求，未出现审核本部门情况，内审不符合项1项，涉及</w:t>
            </w:r>
            <w:r>
              <w:rPr>
                <w:rFonts w:hint="eastAsia" w:ascii="宋体" w:hAnsi="宋体" w:eastAsia="宋体" w:cs="Times New Roman"/>
                <w:bCs/>
                <w:sz w:val="21"/>
                <w:szCs w:val="21"/>
                <w:lang w:eastAsia="zh-CN"/>
              </w:rPr>
              <w:t>行政部</w:t>
            </w:r>
            <w:r>
              <w:rPr>
                <w:rFonts w:hint="eastAsia" w:ascii="宋体" w:hAnsi="宋体" w:eastAsia="宋体" w:cs="Times New Roman"/>
                <w:bCs/>
                <w:sz w:val="21"/>
                <w:szCs w:val="21"/>
              </w:rPr>
              <w:t>E</w:t>
            </w:r>
            <w:r>
              <w:rPr>
                <w:rFonts w:hint="eastAsia" w:ascii="宋体" w:hAnsi="宋体" w:eastAsia="宋体" w:cs="Times New Roman"/>
                <w:bCs/>
                <w:sz w:val="21"/>
                <w:szCs w:val="21"/>
                <w:lang w:val="en-US" w:eastAsia="zh-CN"/>
              </w:rPr>
              <w:t>8.1</w:t>
            </w:r>
            <w:r>
              <w:rPr>
                <w:rFonts w:hint="eastAsia" w:ascii="宋体" w:hAnsi="宋体" w:eastAsia="宋体" w:cs="Times New Roman"/>
                <w:bCs/>
                <w:sz w:val="21"/>
                <w:szCs w:val="21"/>
              </w:rPr>
              <w:t>条款 “ 查办公室卫生不整洁，地面未</w:t>
            </w:r>
            <w:r>
              <w:rPr>
                <w:rFonts w:hint="eastAsia" w:ascii="宋体" w:hAnsi="宋体" w:eastAsia="宋体" w:cs="Times New Roman"/>
                <w:bCs/>
                <w:sz w:val="21"/>
                <w:szCs w:val="21"/>
                <w:lang w:eastAsia="zh-CN"/>
              </w:rPr>
              <w:t>按管理要求</w:t>
            </w:r>
            <w:r>
              <w:rPr>
                <w:rFonts w:hint="eastAsia" w:ascii="宋体" w:hAnsi="宋体" w:eastAsia="宋体" w:cs="Times New Roman"/>
                <w:bCs/>
                <w:sz w:val="21"/>
                <w:szCs w:val="21"/>
              </w:rPr>
              <w:t>及时处理。”</w:t>
            </w:r>
            <w:bookmarkStart w:id="28" w:name="_GoBack"/>
            <w:bookmarkEnd w:id="28"/>
            <w:r>
              <w:rPr>
                <w:rFonts w:hint="eastAsia" w:ascii="宋体" w:hAnsi="宋体" w:eastAsia="宋体" w:cs="Times New Roman"/>
                <w:bCs/>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0" w:type="auto"/>
            <w:vMerge w:val="continue"/>
            <w:textDirection w:val="tbRlV"/>
            <w:vAlign w:val="center"/>
          </w:tcPr>
          <w:p>
            <w:pPr>
              <w:spacing w:line="240" w:lineRule="exact"/>
              <w:ind w:left="113" w:right="113"/>
              <w:jc w:val="center"/>
              <w:rPr>
                <w:b/>
                <w:szCs w:val="21"/>
              </w:rPr>
            </w:pPr>
          </w:p>
        </w:tc>
        <w:tc>
          <w:tcPr>
            <w:tcW w:w="0" w:type="auto"/>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Times New Roman"/>
                <w:bCs/>
                <w:sz w:val="21"/>
                <w:szCs w:val="21"/>
              </w:rPr>
              <w:t>管理评审频次为一年一次、本次管理评审于2020年1月15日由总经理主持完成、提供主要输入材料有各部门总结，输入信息基本充分和满足要求。输出见“管理评审报告”,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0" w:type="auto"/>
            <w:vMerge w:val="continue"/>
            <w:vAlign w:val="center"/>
          </w:tcPr>
          <w:p>
            <w:pPr>
              <w:spacing w:line="240" w:lineRule="exact"/>
              <w:jc w:val="center"/>
              <w:rPr>
                <w:b/>
                <w:sz w:val="20"/>
              </w:rPr>
            </w:pPr>
          </w:p>
        </w:tc>
        <w:tc>
          <w:tcPr>
            <w:tcW w:w="0" w:type="auto"/>
          </w:tcPr>
          <w:p>
            <w:pPr>
              <w:spacing w:line="240" w:lineRule="exact"/>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0" w:type="auto"/>
            <w:vMerge w:val="continue"/>
            <w:vAlign w:val="center"/>
          </w:tcPr>
          <w:p>
            <w:pPr>
              <w:spacing w:line="240" w:lineRule="exact"/>
              <w:jc w:val="center"/>
              <w:rPr>
                <w:b/>
                <w:sz w:val="20"/>
              </w:rPr>
            </w:pPr>
          </w:p>
        </w:tc>
        <w:tc>
          <w:tcPr>
            <w:tcW w:w="0" w:type="auto"/>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0" w:type="auto"/>
            <w:vMerge w:val="continue"/>
            <w:vAlign w:val="center"/>
          </w:tcPr>
          <w:p>
            <w:pPr>
              <w:spacing w:line="240" w:lineRule="exact"/>
              <w:jc w:val="center"/>
              <w:rPr>
                <w:b/>
                <w:sz w:val="20"/>
              </w:rPr>
            </w:pPr>
          </w:p>
        </w:tc>
        <w:tc>
          <w:tcPr>
            <w:tcW w:w="0" w:type="auto"/>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ascii="宋体" w:hAnsi="宋体"/>
                <w:b/>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0" w:type="auto"/>
            <w:vMerge w:val="continue"/>
            <w:vAlign w:val="center"/>
          </w:tcPr>
          <w:p>
            <w:pPr>
              <w:spacing w:line="240" w:lineRule="exact"/>
              <w:jc w:val="center"/>
              <w:rPr>
                <w:b/>
                <w:sz w:val="20"/>
              </w:rPr>
            </w:pPr>
          </w:p>
        </w:tc>
        <w:tc>
          <w:tcPr>
            <w:tcW w:w="0" w:type="auto"/>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0" w:type="auto"/>
            <w:vMerge w:val="continue"/>
            <w:vAlign w:val="center"/>
          </w:tcPr>
          <w:p>
            <w:pPr>
              <w:spacing w:line="240" w:lineRule="exact"/>
              <w:jc w:val="center"/>
              <w:rPr>
                <w:b/>
                <w:sz w:val="20"/>
              </w:rPr>
            </w:pPr>
          </w:p>
        </w:tc>
        <w:tc>
          <w:tcPr>
            <w:tcW w:w="0" w:type="auto"/>
          </w:tcPr>
          <w:p>
            <w:pPr>
              <w:widowControl/>
              <w:numPr>
                <w:ilvl w:val="0"/>
                <w:numId w:val="4"/>
              </w:numPr>
              <w:spacing w:line="240" w:lineRule="exact"/>
              <w:rPr>
                <w:rFonts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0" w:type="auto"/>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0" w:type="auto"/>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Cs/>
                <w:sz w:val="21"/>
                <w:szCs w:val="21"/>
              </w:rPr>
            </w:pPr>
            <w:r>
              <w:rPr>
                <w:rFonts w:hint="eastAsia" w:ascii="宋体" w:hAnsi="宋体"/>
                <w:bCs/>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0" w:type="auto"/>
            <w:vMerge w:val="continue"/>
            <w:vAlign w:val="center"/>
          </w:tcPr>
          <w:p>
            <w:pPr>
              <w:spacing w:line="240" w:lineRule="exact"/>
              <w:jc w:val="center"/>
              <w:rPr>
                <w:b/>
                <w:sz w:val="20"/>
              </w:rPr>
            </w:pPr>
          </w:p>
        </w:tc>
        <w:tc>
          <w:tcPr>
            <w:tcW w:w="0" w:type="auto"/>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0" w:type="auto"/>
            <w:vMerge w:val="continue"/>
            <w:vAlign w:val="center"/>
          </w:tcPr>
          <w:p>
            <w:pPr>
              <w:spacing w:line="240" w:lineRule="exact"/>
              <w:jc w:val="center"/>
              <w:rPr>
                <w:b/>
                <w:sz w:val="20"/>
              </w:rPr>
            </w:pPr>
          </w:p>
        </w:tc>
        <w:tc>
          <w:tcPr>
            <w:tcW w:w="0" w:type="auto"/>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创新情况</w:t>
            </w:r>
          </w:p>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0" w:type="auto"/>
            <w:vMerge w:val="continue"/>
            <w:vAlign w:val="center"/>
          </w:tcPr>
          <w:p>
            <w:pPr>
              <w:spacing w:line="240" w:lineRule="exact"/>
              <w:jc w:val="center"/>
              <w:rPr>
                <w:b/>
                <w:sz w:val="20"/>
              </w:rPr>
            </w:pPr>
          </w:p>
        </w:tc>
        <w:tc>
          <w:tcPr>
            <w:tcW w:w="0" w:type="auto"/>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rPr>
                <w:rFonts w:ascii="宋体" w:hAnsi="宋体"/>
                <w:b/>
                <w:sz w:val="21"/>
                <w:szCs w:val="21"/>
              </w:rPr>
            </w:pPr>
            <w:r>
              <w:rPr>
                <w:rFonts w:hint="eastAsia" w:ascii="宋体" w:hAnsi="宋体"/>
                <w:b/>
                <w:sz w:val="21"/>
                <w:szCs w:val="21"/>
              </w:rPr>
              <w:t>上次审核不符合E8.1,已完成整改并保持，整改有效</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5" w:firstLineChars="223"/>
        <w:rPr>
          <w:rFonts w:ascii="宋体"/>
          <w:b/>
          <w:szCs w:val="21"/>
        </w:rPr>
      </w:pPr>
      <w:r>
        <w:rPr>
          <w:rFonts w:hint="eastAsia" w:ascii="宋体" w:hAnsi="宋体"/>
          <w:szCs w:val="21"/>
          <w:lang w:val="de-DE"/>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hint="eastAsia" w:ascii="宋体" w:hAnsi="宋体" w:eastAsia="宋体" w:cs="Times New Roman"/>
          <w:b/>
          <w:szCs w:val="21"/>
        </w:rPr>
      </w:pPr>
      <w:r>
        <w:rPr>
          <w:rFonts w:hint="eastAsia" w:ascii="宋体" w:hAnsi="宋体" w:eastAsia="宋体" w:cs="Times New Roman"/>
          <w:b/>
          <w:szCs w:val="21"/>
        </w:rPr>
        <w:t>本次审核共开具不符合项报告1项；其中</w:t>
      </w:r>
      <w:r>
        <w:rPr>
          <w:rFonts w:hint="eastAsia" w:ascii="宋体" w:hAnsi="宋体" w:eastAsia="宋体" w:cs="Times New Roman"/>
          <w:b/>
          <w:szCs w:val="21"/>
        </w:rPr>
        <w:pict>
          <v:line id="直接连接符 1" o:spid="_x0000_s1030"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eastAsia="宋体" w:cs="Times New Roman"/>
          <w:b/>
          <w:szCs w:val="21"/>
        </w:rPr>
        <w:t>严重不符合0项，一般不符合1项，观察项0项，分布在</w:t>
      </w:r>
      <w:r>
        <w:rPr>
          <w:rFonts w:hint="eastAsia" w:ascii="宋体" w:hAnsi="宋体" w:eastAsia="宋体" w:cs="Times New Roman"/>
          <w:b/>
          <w:szCs w:val="21"/>
          <w:lang w:eastAsia="zh-CN"/>
        </w:rPr>
        <w:t>行政部</w:t>
      </w:r>
      <w:r>
        <w:rPr>
          <w:rFonts w:hint="eastAsia" w:ascii="宋体" w:hAnsi="宋体" w:eastAsia="宋体" w:cs="Times New Roman"/>
          <w:b/>
          <w:szCs w:val="21"/>
        </w:rPr>
        <w:t>部门E9.1.</w:t>
      </w:r>
      <w:r>
        <w:rPr>
          <w:rFonts w:hint="eastAsia" w:ascii="宋体" w:hAnsi="宋体" w:eastAsia="宋体" w:cs="Times New Roman"/>
          <w:b/>
          <w:szCs w:val="21"/>
          <w:lang w:val="en-US" w:eastAsia="zh-CN"/>
        </w:rPr>
        <w:t>1</w:t>
      </w:r>
      <w:r>
        <w:rPr>
          <w:rFonts w:hint="eastAsia" w:ascii="宋体" w:hAnsi="宋体" w:eastAsia="宋体" w:cs="Times New Roman"/>
          <w:b/>
          <w:szCs w:val="21"/>
        </w:rPr>
        <w:t>/S4.5.</w:t>
      </w:r>
      <w:r>
        <w:rPr>
          <w:rFonts w:hint="eastAsia" w:ascii="宋体" w:hAnsi="宋体" w:eastAsia="宋体" w:cs="Times New Roman"/>
          <w:b/>
          <w:szCs w:val="21"/>
          <w:lang w:val="en-US" w:eastAsia="zh-CN"/>
        </w:rPr>
        <w:t>1</w:t>
      </w:r>
      <w:r>
        <w:rPr>
          <w:rFonts w:hint="eastAsia" w:ascii="宋体" w:hAnsi="宋体" w:eastAsia="宋体" w:cs="Times New Roman"/>
          <w:b/>
          <w:szCs w:val="21"/>
        </w:rPr>
        <w:t>条款，见不符合项分布表。（Q/J/E/S分开填写）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snapToGrid w:val="0"/>
        <w:spacing w:line="360" w:lineRule="exact"/>
        <w:rPr>
          <w:b/>
          <w:bCs/>
          <w:sz w:val="21"/>
          <w:szCs w:val="28"/>
        </w:rPr>
      </w:pPr>
    </w:p>
    <w:p>
      <w:pPr>
        <w:snapToGrid w:val="0"/>
        <w:spacing w:line="360" w:lineRule="exact"/>
        <w:rPr>
          <w:b/>
          <w:bCs/>
          <w:sz w:val="21"/>
          <w:szCs w:val="28"/>
        </w:rPr>
      </w:pPr>
    </w:p>
    <w:p>
      <w:pPr>
        <w:snapToGrid w:val="0"/>
        <w:spacing w:line="360" w:lineRule="exact"/>
        <w:rPr>
          <w:b/>
          <w:bCs/>
          <w:sz w:val="21"/>
          <w:szCs w:val="28"/>
        </w:rPr>
      </w:pP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日期：2020年11月6日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bCs/>
          <w:color w:val="000000" w:themeColor="text1"/>
          <w:sz w:val="21"/>
          <w:szCs w:val="21"/>
          <w14:textFill>
            <w14:solidFill>
              <w14:schemeClr w14:val="tx1"/>
            </w14:solidFill>
          </w14:textFill>
        </w:rPr>
      </w:pPr>
      <w:r>
        <w:rPr>
          <w:b/>
          <w:bCs/>
          <w:sz w:val="21"/>
          <w:szCs w:val="21"/>
        </w:rPr>
        <w:t>1.</w:t>
      </w:r>
      <w:r>
        <w:rPr>
          <w:rFonts w:hint="eastAsia"/>
          <w:b/>
          <w:bCs/>
          <w:sz w:val="21"/>
          <w:szCs w:val="21"/>
        </w:rPr>
        <w:t>审核中</w:t>
      </w:r>
      <w:r>
        <w:rPr>
          <w:rFonts w:hint="eastAsia"/>
          <w:b/>
          <w:bCs/>
          <w:color w:val="000000" w:themeColor="text1"/>
          <w:sz w:val="21"/>
          <w:szCs w:val="21"/>
          <w14:textFill>
            <w14:solidFill>
              <w14:schemeClr w14:val="tx1"/>
            </w14:solidFill>
          </w14:textFill>
        </w:rPr>
        <w:t>发现的□</w:t>
      </w:r>
      <w:r>
        <w:rPr>
          <w:rFonts w:hint="eastAsia" w:ascii="宋体" w:hAnsi="宋体"/>
          <w:b/>
          <w:color w:val="000000" w:themeColor="text1"/>
          <w:szCs w:val="21"/>
          <w14:textFill>
            <w14:solidFill>
              <w14:schemeClr w14:val="tx1"/>
            </w14:solidFill>
          </w14:textFill>
        </w:rPr>
        <w:t xml:space="preserve"> </w:t>
      </w:r>
      <w:r>
        <w:rPr>
          <w:b/>
          <w:color w:val="000000" w:themeColor="text1"/>
          <w:sz w:val="21"/>
          <w:szCs w:val="21"/>
          <w14:textFill>
            <w14:solidFill>
              <w14:schemeClr w14:val="tx1"/>
            </w14:solidFill>
          </w14:textFill>
        </w:rPr>
        <w:t>QMS (</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个严重不符合，</w:t>
      </w:r>
      <w:r>
        <w:rPr>
          <w:rFonts w:hint="eastAsia"/>
          <w:b/>
          <w:bCs/>
          <w:color w:val="000000" w:themeColor="text1"/>
          <w:sz w:val="2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验证合格□仍有问题</w:t>
      </w:r>
    </w:p>
    <w:p>
      <w:pPr>
        <w:spacing w:line="360" w:lineRule="exact"/>
        <w:ind w:firstLine="843" w:firstLineChars="40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审核中发现的□50430 (    )个一般不符合，(    )个严重不符合，□验证合格□仍有问题</w:t>
      </w:r>
    </w:p>
    <w:p>
      <w:pPr>
        <w:spacing w:line="360" w:lineRule="exact"/>
        <w:ind w:firstLine="843" w:firstLineChars="400"/>
        <w:rPr>
          <w:b/>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w:t>
      </w:r>
      <w:r>
        <w:rPr>
          <w:rFonts w:hint="eastAsia" w:ascii="宋体" w:hAnsi="宋体"/>
          <w:b/>
          <w:color w:val="000000" w:themeColor="text1"/>
          <w:szCs w:val="21"/>
          <w14:textFill>
            <w14:solidFill>
              <w14:schemeClr w14:val="tx1"/>
            </w14:solidFill>
          </w14:textFill>
        </w:rPr>
        <w:t xml:space="preserve">☑ </w:t>
      </w:r>
      <w:r>
        <w:rPr>
          <w:b/>
          <w:color w:val="000000" w:themeColor="text1"/>
          <w:sz w:val="21"/>
          <w:szCs w:val="21"/>
          <w14:textFill>
            <w14:solidFill>
              <w14:schemeClr w14:val="tx1"/>
            </w14:solidFill>
          </w14:textFill>
        </w:rPr>
        <w:t>EMS (1)</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(0 )</w:t>
      </w:r>
      <w:r>
        <w:rPr>
          <w:rFonts w:hint="eastAsia"/>
          <w:b/>
          <w:color w:val="000000" w:themeColor="text1"/>
          <w:sz w:val="21"/>
          <w:szCs w:val="21"/>
          <w14:textFill>
            <w14:solidFill>
              <w14:schemeClr w14:val="tx1"/>
            </w14:solidFill>
          </w14:textFill>
        </w:rPr>
        <w:t>个严重不符合，</w:t>
      </w:r>
      <w:r>
        <w:rPr>
          <w:rFonts w:hint="eastAsia" w:ascii="宋体" w:hAnsi="宋体"/>
          <w:b/>
          <w:color w:val="000000" w:themeColor="text1"/>
          <w:szCs w:val="21"/>
          <w14:textFill>
            <w14:solidFill>
              <w14:schemeClr w14:val="tx1"/>
            </w14:solidFill>
          </w14:textFill>
        </w:rPr>
        <w:t>☑</w:t>
      </w:r>
      <w:r>
        <w:rPr>
          <w:rFonts w:hint="eastAsia"/>
          <w:b/>
          <w:color w:val="000000" w:themeColor="text1"/>
          <w:sz w:val="21"/>
          <w:szCs w:val="21"/>
          <w14:textFill>
            <w14:solidFill>
              <w14:schemeClr w14:val="tx1"/>
            </w14:solidFill>
          </w14:textFill>
        </w:rPr>
        <w:t>验证合格□仍有问题</w:t>
      </w:r>
    </w:p>
    <w:p>
      <w:pPr>
        <w:spacing w:line="360" w:lineRule="exact"/>
        <w:rPr>
          <w:b/>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w:t>
      </w:r>
      <w:r>
        <w:rPr>
          <w:rFonts w:hint="eastAsia" w:ascii="宋体" w:hAnsi="宋体"/>
          <w:b/>
          <w:color w:val="000000" w:themeColor="text1"/>
          <w:szCs w:val="21"/>
          <w14:textFill>
            <w14:solidFill>
              <w14:schemeClr w14:val="tx1"/>
            </w14:solidFill>
          </w14:textFill>
        </w:rPr>
        <w:t xml:space="preserve">☑ </w:t>
      </w:r>
      <w:r>
        <w:rPr>
          <w:b/>
          <w:color w:val="000000" w:themeColor="text1"/>
          <w:sz w:val="21"/>
          <w:szCs w:val="21"/>
          <w14:textFill>
            <w14:solidFill>
              <w14:schemeClr w14:val="tx1"/>
            </w14:solidFill>
          </w14:textFill>
        </w:rPr>
        <w:t>OHSMS (  1  )</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  0  )</w:t>
      </w:r>
      <w:r>
        <w:rPr>
          <w:rFonts w:hint="eastAsia"/>
          <w:b/>
          <w:color w:val="000000" w:themeColor="text1"/>
          <w:sz w:val="21"/>
          <w:szCs w:val="21"/>
          <w14:textFill>
            <w14:solidFill>
              <w14:schemeClr w14:val="tx1"/>
            </w14:solidFill>
          </w14:textFill>
        </w:rPr>
        <w:t>个严重不符合，</w:t>
      </w:r>
      <w:r>
        <w:rPr>
          <w:rFonts w:hint="eastAsia" w:ascii="宋体" w:hAnsi="宋体"/>
          <w:b/>
          <w:color w:val="000000" w:themeColor="text1"/>
          <w:szCs w:val="21"/>
          <w14:textFill>
            <w14:solidFill>
              <w14:schemeClr w14:val="tx1"/>
            </w14:solidFill>
          </w14:textFill>
        </w:rPr>
        <w:t>☑</w:t>
      </w:r>
      <w:r>
        <w:rPr>
          <w:rFonts w:hint="eastAsia"/>
          <w:b/>
          <w:color w:val="000000" w:themeColor="text1"/>
          <w:sz w:val="21"/>
          <w:szCs w:val="21"/>
          <w14:textFill>
            <w14:solidFill>
              <w14:schemeClr w14:val="tx1"/>
            </w14:solidFill>
          </w14:textFill>
        </w:rPr>
        <w:t>验证合格□仍有问题</w:t>
      </w:r>
    </w:p>
    <w:p>
      <w:pPr>
        <w:spacing w:beforeLines="50" w:line="400" w:lineRule="exact"/>
        <w:rPr>
          <w:b/>
          <w:color w:val="000000" w:themeColor="text1"/>
          <w:sz w:val="21"/>
          <w:szCs w:val="21"/>
          <w14:textFill>
            <w14:solidFill>
              <w14:schemeClr w14:val="tx1"/>
            </w14:solidFill>
          </w14:textFill>
        </w:rPr>
      </w:pPr>
    </w:p>
    <w:p>
      <w:pPr>
        <w:spacing w:beforeLines="50" w:line="400" w:lineRule="exact"/>
        <w:ind w:firstLine="632" w:firstLineChars="300"/>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2168" w:firstLineChars="900"/>
        <w:rPr>
          <w:b/>
          <w:sz w:val="21"/>
          <w:szCs w:val="21"/>
        </w:rPr>
      </w:pPr>
      <w:r>
        <w:rPr>
          <w:rFonts w:hint="eastAsia" w:ascii="宋体" w:hAnsi="宋体"/>
          <w:b/>
          <w:szCs w:val="21"/>
        </w:rPr>
        <w:t xml:space="preserve">☑ </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t>组长签字：                      日期：          年    月     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Pr>
        <w:spacing w:line="360" w:lineRule="auto"/>
        <w:ind w:left="-211" w:leftChars="-88" w:firstLine="535" w:firstLineChars="223"/>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EDD84"/>
    <w:multiLevelType w:val="singleLevel"/>
    <w:tmpl w:val="8F5EDD84"/>
    <w:lvl w:ilvl="0" w:tentative="0">
      <w:start w:val="2"/>
      <w:numFmt w:val="decimal"/>
      <w:lvlText w:val="%1."/>
      <w:lvlJc w:val="left"/>
      <w:pPr>
        <w:tabs>
          <w:tab w:val="left" w:pos="312"/>
        </w:tabs>
      </w:pPr>
    </w:lvl>
  </w:abstractNum>
  <w:abstractNum w:abstractNumId="1">
    <w:nsid w:val="B3704A97"/>
    <w:multiLevelType w:val="singleLevel"/>
    <w:tmpl w:val="B3704A97"/>
    <w:lvl w:ilvl="0" w:tentative="0">
      <w:start w:val="2"/>
      <w:numFmt w:val="decimal"/>
      <w:suff w:val="nothing"/>
      <w:lvlText w:val="%1、"/>
      <w:lvlJc w:val="left"/>
    </w:lvl>
  </w:abstractNum>
  <w:abstractNum w:abstractNumId="2">
    <w:nsid w:val="FFE6502E"/>
    <w:multiLevelType w:val="singleLevel"/>
    <w:tmpl w:val="FFE6502E"/>
    <w:lvl w:ilvl="0" w:tentative="0">
      <w:start w:val="8"/>
      <w:numFmt w:val="decimal"/>
      <w:suff w:val="space"/>
      <w:lvlText w:val="%1."/>
      <w:lvlJc w:val="left"/>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0E0F4F35"/>
    <w:multiLevelType w:val="singleLevel"/>
    <w:tmpl w:val="0E0F4F35"/>
    <w:lvl w:ilvl="0" w:tentative="0">
      <w:start w:val="3"/>
      <w:numFmt w:val="decimal"/>
      <w:lvlText w:val="%1."/>
      <w:lvlJc w:val="left"/>
      <w:pPr>
        <w:tabs>
          <w:tab w:val="left" w:pos="312"/>
        </w:tabs>
      </w:p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2673F"/>
    <w:rsid w:val="0012673F"/>
    <w:rsid w:val="0021196E"/>
    <w:rsid w:val="003C3F91"/>
    <w:rsid w:val="004812E2"/>
    <w:rsid w:val="00667213"/>
    <w:rsid w:val="00790620"/>
    <w:rsid w:val="00825B40"/>
    <w:rsid w:val="00B323C6"/>
    <w:rsid w:val="00CE3BC5"/>
    <w:rsid w:val="00D04603"/>
    <w:rsid w:val="0636522F"/>
    <w:rsid w:val="09A578A9"/>
    <w:rsid w:val="132378F1"/>
    <w:rsid w:val="153C5C0B"/>
    <w:rsid w:val="1810658C"/>
    <w:rsid w:val="3568168A"/>
    <w:rsid w:val="388828AC"/>
    <w:rsid w:val="412E0259"/>
    <w:rsid w:val="744E3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Placeholder Text"/>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1337</Words>
  <Characters>7625</Characters>
  <Lines>63</Lines>
  <Paragraphs>17</Paragraphs>
  <TotalTime>2</TotalTime>
  <ScaleCrop>false</ScaleCrop>
  <LinksUpToDate>false</LinksUpToDate>
  <CharactersWithSpaces>8945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2020-11-06T06:53:13Z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