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重庆立安钢结构有限公司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0149-2018-2020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0149-2018-2020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000"/>
        <w:gridCol w:w="1732"/>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0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重庆立安钢结构有限公司</w:t>
            </w:r>
            <w:bookmarkEnd w:id="4"/>
          </w:p>
        </w:tc>
        <w:tc>
          <w:tcPr>
            <w:tcW w:w="17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4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胡海</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ISC-2018-0326</w:t>
            </w:r>
            <w:bookmarkEnd w:id="6"/>
            <w:bookmarkStart w:id="10" w:name="_GoBack"/>
            <w:bookmarkEnd w:id="10"/>
          </w:p>
        </w:tc>
        <w:tc>
          <w:tcPr>
            <w:tcW w:w="17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4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7" w:name="证书有效期"/>
            <w:r>
              <w:rPr>
                <w:rFonts w:cs="宋体" w:asciiTheme="minorEastAsia" w:hAnsiTheme="minorEastAsia"/>
                <w:kern w:val="0"/>
                <w:szCs w:val="21"/>
              </w:rPr>
              <w:t xml:space="preserve">2023-11-12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二</w:t>
            </w:r>
            <w:r>
              <w:rPr>
                <w:rFonts w:hint="eastAsia" w:ascii="宋体" w:hAnsi="宋体" w:cs="宋体"/>
                <w:kern w:val="0"/>
                <w:szCs w:val="21"/>
              </w:rPr>
              <w:t>次监督审核</w:t>
            </w:r>
          </w:p>
        </w:tc>
        <w:tc>
          <w:tcPr>
            <w:tcW w:w="17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4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2020年11月05日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830" w:type="dxa"/>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0" w:type="dxa"/>
          </w:tcPr>
          <w:p>
            <w:pPr>
              <w:tabs>
                <w:tab w:val="left" w:pos="880"/>
              </w:tabs>
              <w:autoSpaceDE w:val="0"/>
              <w:autoSpaceDN w:val="0"/>
              <w:adjustRightInd w:val="0"/>
              <w:spacing w:before="35" w:line="360" w:lineRule="auto"/>
              <w:ind w:right="161"/>
              <w:jc w:val="left"/>
              <w:rPr>
                <w:rFonts w:hint="eastAsia" w:ascii="宋体" w:hAnsi="宋体"/>
                <w:szCs w:val="21"/>
              </w:rPr>
            </w:pPr>
            <w:r>
              <w:rPr>
                <w:rFonts w:hint="eastAsia" w:ascii="宋体" w:hAnsi="宋体"/>
                <w:szCs w:val="21"/>
              </w:rPr>
              <w:t>李俐</w:t>
            </w:r>
            <w:r>
              <w:rPr>
                <w:rFonts w:hint="eastAsia" w:ascii="宋体" w:hAnsi="宋体"/>
                <w:szCs w:val="21"/>
                <w:lang w:val="en-US" w:eastAsia="zh-CN"/>
              </w:rPr>
              <w:t xml:space="preserve"> </w:t>
            </w:r>
            <w:r>
              <w:rPr>
                <w:rFonts w:hint="eastAsia" w:ascii="宋体" w:hAnsi="宋体"/>
                <w:szCs w:val="21"/>
              </w:rPr>
              <w:t>中认协评 [2018]72号</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rPr>
              <w:t>ISC[S]0008</w:t>
            </w:r>
          </w:p>
        </w:tc>
        <w:tc>
          <w:tcPr>
            <w:tcW w:w="17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49" w:type="dxa"/>
          </w:tcPr>
          <w:p>
            <w:pPr>
              <w:spacing w:line="360" w:lineRule="auto"/>
              <w:rPr>
                <w:rFonts w:cs="宋体" w:asciiTheme="minorEastAsia" w:hAnsiTheme="minorEastAsia"/>
                <w:kern w:val="0"/>
                <w:szCs w:val="21"/>
              </w:rPr>
            </w:pPr>
            <w:r>
              <w:rPr>
                <w:rFonts w:hint="eastAsia" w:ascii="宋体"/>
              </w:rPr>
              <w:t>办公室</w:t>
            </w:r>
            <w:r>
              <w:rPr>
                <w:rFonts w:hint="eastAsia" w:ascii="宋体"/>
                <w:lang w:eastAsia="zh-CN"/>
              </w:rPr>
              <w:t>、</w:t>
            </w:r>
            <w:r>
              <w:rPr>
                <w:rFonts w:hint="eastAsia"/>
              </w:rPr>
              <w:t>生产</w:t>
            </w:r>
            <w:r>
              <w:rPr>
                <w:rFonts w:hint="eastAsia"/>
                <w:szCs w:val="22"/>
              </w:rPr>
              <w:t>技术部</w:t>
            </w:r>
            <w:r>
              <w:rPr>
                <w:rFonts w:hint="eastAsia"/>
                <w:szCs w:val="22"/>
                <w:lang w:eastAsia="zh-CN"/>
              </w:rPr>
              <w:t>、</w:t>
            </w:r>
            <w:r>
              <w:rPr>
                <w:rFonts w:hint="eastAsia"/>
                <w:lang w:val="en-US" w:eastAsia="zh-CN"/>
              </w:rPr>
              <w:t>供销</w:t>
            </w:r>
            <w:r>
              <w:rPr>
                <w:rFonts w:hint="eastAsia"/>
              </w:rPr>
              <w:t>部</w:t>
            </w:r>
          </w:p>
        </w:tc>
      </w:tr>
    </w:tbl>
    <w:p>
      <w:pPr>
        <w:widowControl/>
        <w:spacing w:line="48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1.一年内违反法律法规</w:t>
      </w:r>
      <w:r>
        <w:rPr>
          <w:rFonts w:hint="eastAsia" w:cs="宋体" w:asciiTheme="minorEastAsia" w:hAnsiTheme="minorEastAsia"/>
          <w:bCs/>
          <w:kern w:val="0"/>
          <w:szCs w:val="21"/>
        </w:rPr>
        <w:t>或重大事故的情况：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w:t>
      </w:r>
      <w:r>
        <w:rPr>
          <w:rFonts w:hint="eastAsia" w:cs="宋体" w:asciiTheme="minorEastAsia" w:hAnsiTheme="minorEastAsia"/>
          <w:bCs/>
          <w:kern w:val="0"/>
          <w:szCs w:val="21"/>
          <w:lang w:val="en-US" w:eastAsia="zh-CN"/>
        </w:rPr>
        <w:t>意度有所提高，未见违反法律、法规问题或重大质量事故发生。</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rPr>
      </w:pPr>
      <w:r>
        <w:rPr>
          <w:rFonts w:hint="eastAsia" w:cs="宋体" w:asciiTheme="minorEastAsia" w:hAnsiTheme="minorEastAsia"/>
          <w:bCs/>
          <w:kern w:val="0"/>
          <w:szCs w:val="21"/>
        </w:rPr>
        <w:t>为有效评价</w:t>
      </w:r>
      <w:r>
        <w:rPr>
          <w:rFonts w:hint="eastAsia" w:cs="宋体" w:asciiTheme="minorEastAsia" w:hAnsiTheme="minorEastAsia"/>
          <w:bCs/>
          <w:kern w:val="0"/>
          <w:szCs w:val="21"/>
          <w:lang w:eastAsia="zh-CN"/>
        </w:rPr>
        <w:t>重庆立安钢结构有限公司</w:t>
      </w:r>
      <w:r>
        <w:rPr>
          <w:rFonts w:hint="eastAsia" w:cs="宋体" w:asciiTheme="minorEastAsia" w:hAnsiTheme="minorEastAsia"/>
          <w:bCs/>
          <w:kern w:val="0"/>
          <w:szCs w:val="21"/>
        </w:rPr>
        <w:t>测量管理体系认证后一年以来运行情况，在</w:t>
      </w:r>
      <w:r>
        <w:rPr>
          <w:rFonts w:hint="eastAsia" w:cs="宋体" w:asciiTheme="minorEastAsia" w:hAnsiTheme="minorEastAsia"/>
          <w:bCs/>
          <w:kern w:val="0"/>
          <w:szCs w:val="21"/>
          <w:lang w:eastAsia="zh-CN"/>
        </w:rPr>
        <w:t>此次</w:t>
      </w:r>
      <w:r>
        <w:rPr>
          <w:rFonts w:hint="eastAsia" w:cs="宋体" w:asciiTheme="minorEastAsia" w:hAnsiTheme="minorEastAsia"/>
          <w:bCs/>
          <w:kern w:val="0"/>
          <w:szCs w:val="21"/>
        </w:rPr>
        <w:t>现场</w:t>
      </w:r>
      <w:r>
        <w:rPr>
          <w:rFonts w:hint="eastAsia" w:cs="宋体" w:asciiTheme="minorEastAsia" w:hAnsiTheme="minorEastAsia"/>
          <w:bCs/>
          <w:kern w:val="0"/>
          <w:szCs w:val="21"/>
          <w:lang w:val="en-US" w:eastAsia="zh-CN"/>
        </w:rPr>
        <w:t>审核</w:t>
      </w:r>
      <w:r>
        <w:rPr>
          <w:rFonts w:hint="eastAsia" w:cs="宋体" w:asciiTheme="minorEastAsia" w:hAnsiTheme="minorEastAsia"/>
          <w:bCs/>
          <w:kern w:val="0"/>
          <w:szCs w:val="21"/>
        </w:rPr>
        <w:t>中审核组先后抽样检查了</w:t>
      </w:r>
      <w:r>
        <w:rPr>
          <w:rFonts w:hint="eastAsia" w:ascii="宋体"/>
        </w:rPr>
        <w:t>办公室</w:t>
      </w:r>
      <w:r>
        <w:rPr>
          <w:rFonts w:hint="eastAsia" w:ascii="宋体"/>
          <w:lang w:eastAsia="zh-CN"/>
        </w:rPr>
        <w:t>、</w:t>
      </w:r>
      <w:r>
        <w:rPr>
          <w:rFonts w:hint="eastAsia"/>
        </w:rPr>
        <w:t>生产</w:t>
      </w:r>
      <w:r>
        <w:rPr>
          <w:rFonts w:hint="eastAsia"/>
          <w:szCs w:val="22"/>
        </w:rPr>
        <w:t>技术部</w:t>
      </w:r>
      <w:r>
        <w:rPr>
          <w:rFonts w:hint="eastAsia"/>
          <w:szCs w:val="22"/>
          <w:lang w:eastAsia="zh-CN"/>
        </w:rPr>
        <w:t>、</w:t>
      </w:r>
      <w:r>
        <w:rPr>
          <w:rFonts w:hint="eastAsia"/>
          <w:lang w:val="en-US" w:eastAsia="zh-CN"/>
        </w:rPr>
        <w:t>供销</w:t>
      </w:r>
      <w:r>
        <w:rPr>
          <w:rFonts w:hint="eastAsia"/>
        </w:rPr>
        <w:t>部</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cs="宋体" w:asciiTheme="minorEastAsia" w:hAnsiTheme="minorEastAsia"/>
          <w:bCs/>
          <w:kern w:val="0"/>
          <w:szCs w:val="21"/>
          <w:lang w:eastAsia="zh-CN"/>
        </w:rPr>
        <w:t>重庆立安钢结构有限公司</w:t>
      </w:r>
      <w:r>
        <w:rPr>
          <w:rFonts w:hint="eastAsia" w:cs="宋体" w:asciiTheme="minorEastAsia" w:hAnsiTheme="minorEastAsia"/>
          <w:bCs/>
          <w:kern w:val="0"/>
          <w:szCs w:val="21"/>
          <w:lang w:val="en-US" w:eastAsia="zh-CN"/>
        </w:rPr>
        <w:t>根据测量管理体系的一年运行情况对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了，使其更适应企业实际。</w:t>
      </w:r>
      <w:r>
        <w:rPr>
          <w:rFonts w:hint="eastAsia" w:cs="宋体" w:asciiTheme="minorEastAsia" w:hAnsiTheme="minorEastAsia"/>
          <w:bCs/>
          <w:kern w:val="0"/>
          <w:szCs w:val="21"/>
          <w:lang w:val="en-US" w:eastAsia="zh-CN"/>
        </w:rPr>
        <w:t>计量器具完好率100%，配备率100%的计量目标均已实现；对测量器具管理、计量员等岗位人员进行了培训；计量设备管理已日常化，制定的各岗位工作流程，使生产过程中的测量点及检查参数更加明确，</w:t>
      </w:r>
      <w:r>
        <w:rPr>
          <w:rFonts w:hint="eastAsia" w:cs="宋体" w:asciiTheme="minorEastAsia" w:hAnsiTheme="minorEastAsia"/>
          <w:bCs/>
          <w:kern w:val="0"/>
          <w:szCs w:val="21"/>
          <w:lang w:eastAsia="zh-CN"/>
        </w:rPr>
        <w:t>重庆立安钢结构有限公司保持并完善的</w:t>
      </w:r>
      <w:r>
        <w:rPr>
          <w:rFonts w:hint="eastAsia" w:cs="宋体" w:asciiTheme="minorEastAsia" w:hAnsiTheme="minorEastAsia"/>
          <w:bCs/>
          <w:kern w:val="0"/>
          <w:szCs w:val="21"/>
        </w:rPr>
        <w:t>测量管理体系</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企业生产规模比上年有所扩大，测量管理体系更</w:t>
      </w:r>
      <w:r>
        <w:rPr>
          <w:rFonts w:hint="eastAsia" w:cs="宋体" w:asciiTheme="minorEastAsia" w:hAnsiTheme="minorEastAsia"/>
          <w:bCs/>
          <w:kern w:val="0"/>
          <w:szCs w:val="21"/>
          <w:lang w:eastAsia="zh-CN"/>
        </w:rPr>
        <w:t>适</w:t>
      </w:r>
      <w:r>
        <w:rPr>
          <w:rFonts w:hint="eastAsia" w:cs="宋体" w:asciiTheme="minorEastAsia" w:hAnsiTheme="minorEastAsia"/>
          <w:bCs/>
          <w:kern w:val="0"/>
          <w:szCs w:val="21"/>
        </w:rPr>
        <w:t>合</w:t>
      </w:r>
      <w:r>
        <w:rPr>
          <w:rFonts w:hint="eastAsia" w:cs="宋体" w:asciiTheme="minorEastAsia" w:hAnsiTheme="minorEastAsia"/>
          <w:bCs/>
          <w:kern w:val="0"/>
          <w:szCs w:val="21"/>
          <w:lang w:eastAsia="zh-CN"/>
        </w:rPr>
        <w:t>企业发展，</w:t>
      </w:r>
      <w:r>
        <w:rPr>
          <w:rFonts w:hint="eastAsia" w:cs="宋体" w:asciiTheme="minorEastAsia" w:hAnsiTheme="minorEastAsia"/>
          <w:bCs/>
          <w:kern w:val="0"/>
          <w:szCs w:val="21"/>
          <w:lang w:val="en-US" w:eastAsia="zh-CN"/>
        </w:rPr>
        <w:t>并</w:t>
      </w:r>
      <w:r>
        <w:rPr>
          <w:rFonts w:hint="eastAsia" w:cs="宋体" w:asciiTheme="minorEastAsia" w:hAnsiTheme="minorEastAsia"/>
          <w:bCs/>
          <w:kern w:val="0"/>
          <w:szCs w:val="21"/>
        </w:rPr>
        <w:t>符合</w:t>
      </w:r>
      <w:r>
        <w:rPr>
          <w:rFonts w:hint="eastAsia" w:cs="宋体" w:asciiTheme="minorEastAsia" w:hAnsiTheme="minorEastAsia"/>
          <w:bCs/>
          <w:kern w:val="0"/>
          <w:szCs w:val="21"/>
          <w:lang w:val="en-US" w:eastAsia="zh-CN"/>
        </w:rPr>
        <w:t>GB/T 19022-2003</w:t>
      </w:r>
      <w:r>
        <w:rPr>
          <w:rFonts w:hint="eastAsia" w:ascii="宋体"/>
          <w:lang w:val="en-US" w:eastAsia="zh-CN"/>
        </w:rPr>
        <w:t>标准要求。</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ascii="宋体"/>
        </w:rPr>
      </w:pPr>
      <w:r>
        <w:rPr>
          <w:rFonts w:hint="eastAsia" w:ascii="宋体"/>
        </w:rPr>
        <w:t>3.1公司的测量体系内审：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rPr>
      </w:pPr>
      <w:r>
        <w:rPr>
          <w:rFonts w:hint="eastAsia" w:ascii="宋体"/>
        </w:rPr>
        <w:t>在审核在审核过程中了解到，该公司于20</w:t>
      </w:r>
      <w:r>
        <w:rPr>
          <w:rFonts w:hint="eastAsia" w:ascii="宋体"/>
          <w:lang w:val="en-US" w:eastAsia="zh-CN"/>
        </w:rPr>
        <w:t>20</w:t>
      </w:r>
      <w:r>
        <w:rPr>
          <w:rFonts w:hint="eastAsia" w:ascii="宋体"/>
        </w:rPr>
        <w:t>年</w:t>
      </w:r>
      <w:r>
        <w:rPr>
          <w:rFonts w:hint="eastAsia" w:ascii="宋体"/>
          <w:lang w:val="en-US" w:eastAsia="zh-CN"/>
        </w:rPr>
        <w:t>8</w:t>
      </w:r>
      <w:r>
        <w:rPr>
          <w:rFonts w:hint="eastAsia" w:ascii="宋体"/>
        </w:rPr>
        <w:t>月</w:t>
      </w:r>
      <w:r>
        <w:rPr>
          <w:rFonts w:hint="eastAsia" w:ascii="宋体"/>
          <w:lang w:val="en-US" w:eastAsia="zh-CN"/>
        </w:rPr>
        <w:t>21</w:t>
      </w:r>
      <w:r>
        <w:rPr>
          <w:rFonts w:hint="eastAsia" w:ascii="宋体"/>
        </w:rPr>
        <w:t>日 组织了内部审核，对内审中提出的</w:t>
      </w:r>
      <w:r>
        <w:rPr>
          <w:rFonts w:hint="eastAsia" w:ascii="宋体"/>
          <w:lang w:val="en-US" w:eastAsia="zh-CN"/>
        </w:rPr>
        <w:t>1</w:t>
      </w:r>
      <w:r>
        <w:rPr>
          <w:rFonts w:hint="eastAsia" w:ascii="宋体"/>
        </w:rPr>
        <w:t>项不符合制定了纠正措施，并</w:t>
      </w:r>
      <w:r>
        <w:rPr>
          <w:rFonts w:hint="eastAsia" w:ascii="宋体"/>
          <w:lang w:eastAsia="zh-CN"/>
        </w:rPr>
        <w:t>已于</w:t>
      </w:r>
      <w:r>
        <w:rPr>
          <w:rFonts w:hint="eastAsia" w:ascii="宋体"/>
        </w:rPr>
        <w:t>20</w:t>
      </w:r>
      <w:r>
        <w:rPr>
          <w:rFonts w:hint="eastAsia" w:ascii="宋体"/>
          <w:lang w:val="en-US" w:eastAsia="zh-CN"/>
        </w:rPr>
        <w:t>20</w:t>
      </w:r>
      <w:r>
        <w:rPr>
          <w:rFonts w:hint="eastAsia" w:ascii="宋体"/>
        </w:rPr>
        <w:t>年</w:t>
      </w:r>
      <w:r>
        <w:rPr>
          <w:rFonts w:hint="eastAsia" w:ascii="宋体"/>
          <w:lang w:val="en-US" w:eastAsia="zh-CN"/>
        </w:rPr>
        <w:t>8</w:t>
      </w:r>
      <w:r>
        <w:rPr>
          <w:rFonts w:hint="eastAsia" w:ascii="宋体"/>
        </w:rPr>
        <w:t>月</w:t>
      </w:r>
      <w:r>
        <w:rPr>
          <w:rFonts w:hint="eastAsia" w:ascii="宋体"/>
          <w:lang w:val="en-US" w:eastAsia="zh-CN"/>
        </w:rPr>
        <w:t>25</w:t>
      </w:r>
      <w:r>
        <w:rPr>
          <w:rFonts w:hint="eastAsia" w:ascii="宋体"/>
        </w:rPr>
        <w:t>日进行了整改。20</w:t>
      </w:r>
      <w:r>
        <w:rPr>
          <w:rFonts w:hint="eastAsia" w:ascii="宋体"/>
          <w:lang w:val="en-US" w:eastAsia="zh-CN"/>
        </w:rPr>
        <w:t>20</w:t>
      </w:r>
      <w:r>
        <w:rPr>
          <w:rFonts w:hint="eastAsia" w:ascii="宋体"/>
        </w:rPr>
        <w:t>年</w:t>
      </w:r>
      <w:r>
        <w:rPr>
          <w:rFonts w:hint="eastAsia" w:ascii="宋体"/>
          <w:lang w:val="en-US" w:eastAsia="zh-CN"/>
        </w:rPr>
        <w:t>9</w:t>
      </w:r>
      <w:r>
        <w:rPr>
          <w:rFonts w:hint="eastAsia" w:ascii="宋体"/>
        </w:rPr>
        <w:t>月</w:t>
      </w:r>
      <w:r>
        <w:rPr>
          <w:rFonts w:hint="eastAsia" w:ascii="宋体"/>
          <w:lang w:val="en-US" w:eastAsia="zh-CN"/>
        </w:rPr>
        <w:t>5</w:t>
      </w:r>
      <w:r>
        <w:rPr>
          <w:rFonts w:hint="eastAsia" w:ascii="宋体"/>
        </w:rPr>
        <w:t>日进行了管理评审，对测量管理体系进行了有效评价，确保了测量管理体系的运行质量。</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ascii="宋体"/>
          <w:lang w:val="en-US" w:eastAsia="zh-CN"/>
        </w:rPr>
      </w:pPr>
      <w:r>
        <w:rPr>
          <w:rFonts w:hint="eastAsia" w:ascii="宋体"/>
          <w:lang w:val="en-US" w:eastAsia="zh-CN"/>
        </w:rPr>
        <w:t>4.为持续改进而策划的活动的进展，包括：</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ascii="宋体" w:hAnsi="宋体"/>
          <w:szCs w:val="21"/>
          <w:lang w:eastAsia="zh-CN"/>
        </w:rPr>
        <w:t>重庆立安钢结构有限公司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20上半</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企业未建立建立计量标准，强制检定计量器具</w:t>
      </w:r>
      <w:r>
        <w:rPr>
          <w:rFonts w:hint="eastAsia" w:ascii="宋体" w:hAnsi="宋体" w:eastAsia="宋体" w:cs="宋体"/>
          <w:bCs/>
          <w:kern w:val="0"/>
          <w:szCs w:val="21"/>
          <w:lang w:val="en-US" w:eastAsia="zh-CN"/>
        </w:rPr>
        <w:t>(1块电能表)</w:t>
      </w:r>
      <w:r>
        <w:rPr>
          <w:rFonts w:hint="eastAsia" w:cs="宋体" w:asciiTheme="minorEastAsia" w:hAnsiTheme="minorEastAsia"/>
          <w:bCs/>
          <w:kern w:val="0"/>
          <w:szCs w:val="21"/>
          <w:lang w:val="en-US" w:eastAsia="zh-CN"/>
        </w:rPr>
        <w:t>溯源率100%，一般工作计量器具溯源率100%。</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抽查了企业对已识别的关键测量过程：</w:t>
      </w:r>
      <w:r>
        <w:rPr>
          <w:rFonts w:hint="eastAsia" w:ascii="宋体" w:hAnsi="宋体" w:eastAsia="宋体" w:cs="宋体"/>
          <w:kern w:val="0"/>
          <w:szCs w:val="21"/>
          <w:lang w:eastAsia="zh-CN"/>
        </w:rPr>
        <w:t>钢结构型材壁厚检测</w:t>
      </w:r>
      <w:r>
        <w:rPr>
          <w:rFonts w:hint="eastAsia" w:cs="宋体" w:asciiTheme="minorEastAsia" w:hAnsiTheme="minorEastAsia"/>
          <w:bCs/>
          <w:kern w:val="0"/>
          <w:szCs w:val="21"/>
          <w:lang w:val="en-US" w:eastAsia="zh-CN"/>
        </w:rPr>
        <w:t>均能按测量过程控制规范，进行了有效性监视。记录、监视控制图齐全，完整；</w:t>
      </w:r>
      <w:r>
        <w:rPr>
          <w:rFonts w:hint="eastAsia" w:cs="宋体" w:asciiTheme="minorEastAsia" w:hAnsiTheme="minorEastAsia"/>
          <w:kern w:val="0"/>
          <w:szCs w:val="21"/>
        </w:rPr>
        <w:t>抽查了</w:t>
      </w:r>
      <w:r>
        <w:rPr>
          <w:rFonts w:hint="eastAsia" w:ascii="宋体" w:hAnsi="宋体" w:eastAsia="宋体" w:cs="宋体"/>
          <w:kern w:val="0"/>
          <w:szCs w:val="21"/>
          <w:lang w:eastAsia="zh-CN"/>
        </w:rPr>
        <w:t>钢结构型材壁厚检测</w:t>
      </w:r>
      <w:r>
        <w:rPr>
          <w:rFonts w:hint="eastAsia"/>
        </w:rPr>
        <w:t>过程</w:t>
      </w:r>
      <w:r>
        <w:rPr>
          <w:rFonts w:hint="eastAsia" w:cs="宋体" w:asciiTheme="minorEastAsia" w:hAnsiTheme="minorEastAsia"/>
          <w:kern w:val="0"/>
          <w:szCs w:val="21"/>
        </w:rPr>
        <w:t>控制的监视记录，见附页：测量过程监视统计记录表及监视控制图。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对认证审核时提出的的不符合项的纠正措施情况有表述：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公司已针对上一年度开具的不符合项已采取有效措施，已关闭。</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6.对投诉的处理情况：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公司目前尚未接到客户在产品质量、物料交接、能源、安全、现场管理等方面的投诉和纠纷。</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lang w:val="en-US" w:eastAsia="zh-CN"/>
        </w:rPr>
        <w:t>按</w:t>
      </w:r>
      <w:r>
        <w:rPr>
          <w:rFonts w:hint="eastAsia" w:cs="宋体" w:asciiTheme="minorEastAsia" w:hAnsiTheme="minorEastAsia"/>
          <w:kern w:val="0"/>
          <w:szCs w:val="21"/>
        </w:rPr>
        <w:t>《目标管理程序》</w:t>
      </w:r>
      <w:r>
        <w:rPr>
          <w:rFonts w:hint="eastAsia" w:cs="宋体" w:asciiTheme="minorEastAsia" w:hAnsiTheme="minorEastAsia"/>
          <w:kern w:val="0"/>
          <w:szCs w:val="21"/>
          <w:lang w:val="en-US" w:eastAsia="zh-CN"/>
        </w:rPr>
        <w:t>的要求</w:t>
      </w:r>
      <w:r>
        <w:rPr>
          <w:rFonts w:hint="eastAsia" w:cs="宋体" w:asciiTheme="minorEastAsia" w:hAnsiTheme="minorEastAsia"/>
          <w:kern w:val="0"/>
          <w:szCs w:val="21"/>
        </w:rPr>
        <w:t>，公司规定了计量方针及</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项质量目标 ，是管理体系追求的承诺和准则，内容基本覆盖标准要素。公司将质量目标考核细则已纳入</w:t>
      </w:r>
      <w:r>
        <w:rPr>
          <w:rFonts w:hint="eastAsia" w:cs="宋体" w:asciiTheme="minorEastAsia" w:hAnsiTheme="minorEastAsia"/>
          <w:kern w:val="0"/>
          <w:szCs w:val="21"/>
          <w:lang w:eastAsia="zh-CN"/>
        </w:rPr>
        <w:t>基层</w:t>
      </w:r>
      <w:r>
        <w:rPr>
          <w:rFonts w:hint="eastAsia" w:cs="宋体" w:asciiTheme="minorEastAsia" w:hAnsiTheme="minorEastAsia"/>
          <w:kern w:val="0"/>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1</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 xml:space="preserve"> 本次监督审核</w:t>
      </w:r>
      <w:r>
        <w:rPr>
          <w:rFonts w:hint="eastAsia" w:cs="宋体" w:asciiTheme="minorEastAsia" w:hAnsiTheme="minorEastAsia"/>
          <w:bCs/>
          <w:kern w:val="0"/>
          <w:szCs w:val="21"/>
          <w:lang w:val="en-US" w:eastAsia="zh-CN"/>
        </w:rPr>
        <w:t>发现</w:t>
      </w:r>
      <w:r>
        <w:rPr>
          <w:rFonts w:hint="eastAsia" w:cs="宋体" w:asciiTheme="minorEastAsia" w:hAnsiTheme="minorEastAsia"/>
          <w:bCs/>
          <w:kern w:val="0"/>
          <w:szCs w:val="21"/>
        </w:rPr>
        <w:t>不符合项</w:t>
      </w:r>
      <w:r>
        <w:rPr>
          <w:rFonts w:hint="eastAsia" w:cs="宋体" w:asciiTheme="minorEastAsia" w:hAnsiTheme="minorEastAsia"/>
          <w:bCs/>
          <w:kern w:val="0"/>
          <w:szCs w:val="21"/>
          <w:lang w:val="en-US" w:eastAsia="zh-CN"/>
        </w:rPr>
        <w:t>1项</w:t>
      </w:r>
      <w:r>
        <w:rPr>
          <w:rFonts w:hint="eastAsia" w:cs="宋体" w:asciiTheme="minorEastAsia" w:hAnsiTheme="minorEastAsia"/>
          <w:bCs/>
          <w:kern w:val="0"/>
          <w:szCs w:val="21"/>
        </w:rPr>
        <w:t>，未发现严重的或系统性的不符合情况：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default"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 xml:space="preserve">11.1查生产技术部编号：82-5057  </w:t>
      </w:r>
      <w:r>
        <w:rPr>
          <w:rFonts w:hint="eastAsia" w:cs="宋体" w:asciiTheme="minorEastAsia" w:hAnsiTheme="minorEastAsia"/>
          <w:bCs/>
          <w:kern w:val="0"/>
          <w:szCs w:val="21"/>
        </w:rPr>
        <w:t>游标卡尺</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未进行计量确认，不符合</w:t>
      </w:r>
      <w:r>
        <w:rPr>
          <w:rFonts w:hint="eastAsia" w:cs="宋体" w:asciiTheme="minorEastAsia" w:hAnsiTheme="minorEastAsia"/>
          <w:bCs/>
          <w:kern w:val="0"/>
          <w:szCs w:val="21"/>
        </w:rPr>
        <w:t>GB/T 19022-2003标准</w:t>
      </w:r>
      <w:r>
        <w:rPr>
          <w:rFonts w:hint="eastAsia" w:cs="宋体" w:asciiTheme="minorEastAsia" w:hAnsiTheme="minorEastAsia"/>
          <w:bCs/>
          <w:kern w:val="0"/>
          <w:szCs w:val="21"/>
          <w:lang w:val="en-US" w:eastAsia="zh-CN"/>
        </w:rPr>
        <w:t>7.1.1条款的要求。</w:t>
      </w:r>
    </w:p>
    <w:p>
      <w:pPr>
        <w:widowControl/>
        <w:spacing w:line="600" w:lineRule="auto"/>
        <w:ind w:right="1365"/>
        <w:rPr>
          <w:rFonts w:hint="eastAsia" w:ascii="宋体" w:hAnsi="宋体" w:eastAsia="宋体" w:cs="宋体"/>
          <w:b/>
          <w:bCs/>
          <w:kern w:val="0"/>
          <w:szCs w:val="21"/>
        </w:rPr>
      </w:pPr>
      <w:r>
        <w:rPr>
          <w:rFonts w:hint="eastAsia" w:ascii="宋体" w:hAnsi="宋体" w:eastAsia="宋体" w:cs="宋体"/>
          <w:b/>
          <w:bCs/>
          <w:kern w:val="0"/>
          <w:szCs w:val="21"/>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000000" w:themeColor="text1"/>
          <w:sz w:val="2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5</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一天的时间</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eastAsia="宋体"/>
          <w:szCs w:val="21"/>
          <w:lang w:eastAsia="zh-CN"/>
        </w:rPr>
        <w:t>重庆立安钢结构有限公司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w:t>
      </w:r>
      <w:r>
        <w:rPr>
          <w:rFonts w:hint="eastAsia" w:asciiTheme="minorEastAsia" w:hAnsiTheme="minorEastAsia"/>
          <w:bCs/>
          <w:color w:val="000000" w:themeColor="text1"/>
          <w:sz w:val="21"/>
          <w:szCs w:val="21"/>
          <w:lang w:val="en-US" w:eastAsia="zh-CN"/>
        </w:rPr>
        <w:t>该</w:t>
      </w:r>
      <w:r>
        <w:rPr>
          <w:rFonts w:hint="eastAsia" w:asciiTheme="minorEastAsia" w:hAnsiTheme="minorEastAsia"/>
          <w:bCs/>
          <w:color w:val="000000" w:themeColor="text1"/>
          <w:sz w:val="21"/>
          <w:szCs w:val="21"/>
        </w:rPr>
        <w:t>公司在测量管理体系实现认证后，</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eastAsia="宋体"/>
          <w:szCs w:val="21"/>
          <w:lang w:eastAsia="zh-CN"/>
        </w:rPr>
        <w:t>重庆立安钢结构有限公司</w:t>
      </w:r>
      <w:r>
        <w:rPr>
          <w:rFonts w:hint="eastAsia" w:ascii="宋体" w:hAnsi="宋体"/>
          <w:color w:val="000000" w:themeColor="text1"/>
          <w:sz w:val="21"/>
          <w:szCs w:val="21"/>
        </w:rPr>
        <w:t>测量管理体系，符合GB/T 19022-2003标准要求，对体系运行具有持续的有效性、符合性予以肯定。建议报请国标联合认证有限公司批准通过监督审核。</w:t>
      </w:r>
    </w:p>
    <w:p>
      <w:pPr>
        <w:widowControl/>
        <w:spacing w:line="720" w:lineRule="auto"/>
        <w:ind w:right="945"/>
        <w:jc w:val="center"/>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720"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60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600"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600" w:lineRule="auto"/>
        <w:ind w:right="1050"/>
        <w:rPr>
          <w:rFonts w:ascii="宋体" w:hAnsi="宋体" w:eastAsia="宋体" w:cs="宋体"/>
          <w:b/>
          <w:bCs/>
          <w:kern w:val="0"/>
          <w:szCs w:val="21"/>
        </w:rPr>
      </w:pPr>
    </w:p>
    <w:p>
      <w:pPr>
        <w:widowControl/>
        <w:spacing w:line="60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C6915"/>
    <w:rsid w:val="10BB419A"/>
    <w:rsid w:val="4E340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7</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2020-11-05T02:59:45Z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