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0149-2018-2020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03"/>
        <w:gridCol w:w="1065"/>
        <w:gridCol w:w="1630"/>
        <w:gridCol w:w="638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钢结构型材壁厚检测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</w:rPr>
              <w:t>±0.</w:t>
            </w: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asciiTheme="minorEastAsia" w:hAnsiTheme="minor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《钢结构型材入厂检验要求》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0.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；△允≤1/3Ｔ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</w:rPr>
              <w:t>0.</w:t>
            </w: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</w:rPr>
              <w:t>×1/3=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067</w:t>
            </w:r>
            <w:r>
              <w:t>mm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>、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/>
              </w:rPr>
              <w:t>：±0.0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t>mm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 w:eastAsiaTheme="minorEastAsia"/>
                <w:lang w:eastAsia="zh-CN"/>
              </w:rPr>
              <w:t>型材壁厚</w:t>
            </w:r>
            <w:r>
              <w:rPr>
                <w:sz w:val="20"/>
                <w:szCs w:val="20"/>
              </w:rPr>
              <w:t>为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sz w:val="20"/>
                <w:szCs w:val="20"/>
              </w:rPr>
              <w:t>mm，而所</w:t>
            </w:r>
            <w:r>
              <w:rPr>
                <w:rFonts w:hint="eastAsia"/>
                <w:sz w:val="20"/>
                <w:szCs w:val="20"/>
              </w:rPr>
              <w:t>用</w:t>
            </w:r>
            <w:r>
              <w:rPr>
                <w:rFonts w:hint="eastAsia"/>
                <w:sz w:val="20"/>
                <w:szCs w:val="20"/>
                <w:lang w:eastAsia="zh-CN"/>
              </w:rPr>
              <w:t>千分尺</w:t>
            </w:r>
            <w:r>
              <w:rPr>
                <w:sz w:val="20"/>
                <w:szCs w:val="20"/>
              </w:rPr>
              <w:t>测量范围为</w:t>
            </w:r>
            <w:r>
              <w:rPr>
                <w:rFonts w:hint="eastAsia"/>
                <w:sz w:val="20"/>
                <w:szCs w:val="20"/>
              </w:rPr>
              <w:t>0-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  <w:r>
              <w:rPr>
                <w:sz w:val="20"/>
                <w:szCs w:val="20"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13014106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LHE202011020052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4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25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±0.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杨建军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        审核日期：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966FB"/>
    <w:rsid w:val="198929BC"/>
    <w:rsid w:val="493433C6"/>
    <w:rsid w:val="6B021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2020-11-05T03:42:57Z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