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Lines="50" w:line="360" w:lineRule="exact"/>
        <w:jc w:val="center"/>
        <w:rPr>
          <w:rFonts w:asciiTheme="minorEastAsia" w:hAnsiTheme="minorEastAsia" w:eastAsiaTheme="minorEastAsia"/>
          <w:b/>
          <w:sz w:val="18"/>
          <w:szCs w:val="18"/>
        </w:rPr>
      </w:pPr>
      <w:r>
        <w:rPr>
          <w:rFonts w:hint="eastAsia" w:asciiTheme="minorEastAsia" w:hAnsiTheme="minorEastAsia" w:eastAsiaTheme="minorEastAsia"/>
          <w:b/>
          <w:sz w:val="30"/>
          <w:szCs w:val="30"/>
        </w:rPr>
        <w:t>专业培训记录</w:t>
      </w:r>
    </w:p>
    <w:p>
      <w:pPr>
        <w:snapToGrid w:val="0"/>
        <w:spacing w:afterLines="50" w:line="320" w:lineRule="exact"/>
        <w:jc w:val="center"/>
        <w:rPr>
          <w:rFonts w:eastAsia="隶书"/>
          <w:b/>
          <w:sz w:val="22"/>
          <w:szCs w:val="22"/>
        </w:rPr>
      </w:pP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QMS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 xml:space="preserve">EMS  </w:t>
      </w:r>
      <w:r>
        <w:rPr>
          <w:rFonts w:hint="eastAsia"/>
          <w:b/>
          <w:sz w:val="22"/>
          <w:szCs w:val="22"/>
        </w:rPr>
        <w:t>■</w:t>
      </w:r>
      <w:r>
        <w:rPr>
          <w:b/>
          <w:sz w:val="22"/>
          <w:szCs w:val="22"/>
        </w:rPr>
        <w:t>OHSMS</w:t>
      </w:r>
    </w:p>
    <w:tbl>
      <w:tblPr>
        <w:tblStyle w:val="7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473"/>
        <w:gridCol w:w="1842"/>
        <w:gridCol w:w="3730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受审核方</w:t>
            </w:r>
          </w:p>
        </w:tc>
        <w:tc>
          <w:tcPr>
            <w:tcW w:w="1473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安徽升弘智能科技工程有限公司</w:t>
            </w:r>
          </w:p>
        </w:tc>
        <w:tc>
          <w:tcPr>
            <w:tcW w:w="184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专业小类/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项目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代码</w:t>
            </w:r>
          </w:p>
        </w:tc>
        <w:tc>
          <w:tcPr>
            <w:tcW w:w="510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EC：28.07.01;28.07.03;28.08.01;28.08.02;28.08.03;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28.08.04;28.08.05;33.02.01;33.02.02;35.13.00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E：28.07.01;28.07.03;28.08.01;28.08.02;28.08.03;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28.08.04;28.08.05;33.02.01;33.02.02;35.13.00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O：28.07.01;28.07.03;28.08.01;28.08.02;28.08.03;</w:t>
            </w:r>
          </w:p>
          <w:p>
            <w:pPr>
              <w:snapToGrid w:val="0"/>
              <w:spacing w:line="280" w:lineRule="exac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28.08.04;28.08.05;33.02.01;33.02.02;35.13.00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教师姓名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李伟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37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建筑机电安装工程施工和安全技术防范工程施工、计算机信息系统集成、软件开发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培训地点：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楼办公室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教师姓名</w:t>
            </w:r>
          </w:p>
        </w:tc>
        <w:tc>
          <w:tcPr>
            <w:tcW w:w="1473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王志慧</w:t>
            </w:r>
          </w:p>
        </w:tc>
        <w:tc>
          <w:tcPr>
            <w:tcW w:w="184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专业</w:t>
            </w:r>
          </w:p>
        </w:tc>
        <w:tc>
          <w:tcPr>
            <w:tcW w:w="373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电子与智能化工程施工、建筑装修装饰工程施工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培训地点：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楼办公室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姓名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王志慧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张磊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2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专业代码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36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  <w:lang w:val="en-US" w:eastAsia="zh-CN"/>
              </w:rPr>
              <w:t>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7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生产工艺/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服务过程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pStyle w:val="6"/>
              <w:spacing w:line="360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1、电子与智能化工程施工：施工准备→布线系统施工→设备及线路测试→网络设备安装→系统测、调试→试运行测试</w:t>
            </w:r>
          </w:p>
          <w:p>
            <w:pPr>
              <w:pStyle w:val="6"/>
              <w:spacing w:line="360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2、建筑机电安装工程施工和安全技术防范工程施工：线路敷设→前端设备安装→机房设备安装→设备接线、调试</w:t>
            </w:r>
          </w:p>
          <w:p>
            <w:pPr>
              <w:pStyle w:val="6"/>
              <w:spacing w:line="360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操水平、弹线→安装吊杆→开槽→布管→穿线→电线接头焊接→仪表检测→配电柜等电器安装</w:t>
            </w:r>
          </w:p>
          <w:p>
            <w:pPr>
              <w:pStyle w:val="6"/>
              <w:spacing w:line="360" w:lineRule="auto"/>
              <w:ind w:firstLine="315" w:firstLineChars="150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</w:rPr>
              <w:t>3、计算机信息系统集成、软件开发：设计输入及评审→项目任务书确认→图纸制作→产品相关文件编制及指导书制作→设计和开发的验证→系统调试→客户验收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生产过程/服务过程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特殊过程的控制/</w:t>
            </w:r>
          </w:p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</w:p>
        </w:tc>
        <w:tc>
          <w:tcPr>
            <w:tcW w:w="8424" w:type="dxa"/>
            <w:gridSpan w:val="4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关键过程有：工程施工中的设备调试、隐蔽工程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  <w:t>针对关键过程建立的控制文件有：《施工安全技术交底》、《综合布线系统穿线安全作业指导书》、《信息化应用系统安全作业指导书》、《计算机网络系统安全作业指导书》、《会议系统安全作业指导书》、《出入口控制系统安全作业指导书》、《视频监控系统安全作业指导书》、《机房系统安全作业指导书》、《一卡通系统安全作业指导书》、《材料及成品保护作业指导书》、《线缆及桥架敷设作业指导书》等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重要环境及控制措施；不可接受风险的危险源及控制措施</w:t>
            </w:r>
          </w:p>
        </w:tc>
        <w:tc>
          <w:tcPr>
            <w:tcW w:w="8424" w:type="dxa"/>
            <w:gridSpan w:val="4"/>
          </w:tcPr>
          <w:p>
            <w:pPr>
              <w:snapToGrid w:val="0"/>
              <w:spacing w:line="280" w:lineRule="exact"/>
              <w:ind w:firstLine="315" w:firstLineChars="15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“环境因素识别评价表”“重要环境因素清单”， 评价考虑了三种时态现在、过去、将来、三种状态、异常、正常、紧急考虑了法律法规，并进行了评价。用打分法考虑了法规符合性、发生频次、影响范围等, 通过定性判断法，识别出重大环境因素固体废弃，火灾爆炸，，评价符合程序要求及公司的实际情况。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《重要环境因素清单》已识别重要环境因素包括：噪声的排放等，明确的控制措施和责任部门。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相关法律法规的要求及产品标准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《智能建筑设计标准》GB50314-2015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《智能建筑工程施工规范》GB50606-2010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《综合布线系统工程设计规范》GB50311-2016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《公共广播系统工程技术规范》GB50526-2010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《视频显示系统工程技术规范》GB50464-2008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《厅堂扩声系统设计规范》GB50371-2006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《电子会议系统工程设计规范》GB50799-2012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《安全防范工程技术规范》GB50348-2014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《出入口控制系统技术要求》GA/T394-2002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《数据中心设计规范》GB50174-2017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《建筑物防雷设计规范》GB50057-2010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《建筑物电子信息系统防雷技术规范》GB50343-2012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《低压配电设计规范》GB50054-2011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《建筑照明设计标准》GB50034-2013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《智能建筑工程质量验收规范》GB50339-2013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主席令第6号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中华人民共和国消防法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主席令第22号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中华人民共和国环境保护法</w:t>
            </w:r>
          </w:p>
          <w:p>
            <w:pPr>
              <w:spacing w:line="360" w:lineRule="auto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主席令第70号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ab/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中华人民共和国安全生产法等等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检验和试验项目及要求(如有型式试验要求,要进行说明)</w:t>
            </w:r>
          </w:p>
        </w:tc>
        <w:tc>
          <w:tcPr>
            <w:tcW w:w="8424" w:type="dxa"/>
            <w:gridSpan w:val="4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无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其它相关知识</w:t>
            </w:r>
          </w:p>
        </w:tc>
        <w:tc>
          <w:tcPr>
            <w:tcW w:w="8424" w:type="dxa"/>
            <w:gridSpan w:val="4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sz w:val="21"/>
                <w:szCs w:val="21"/>
              </w:rPr>
              <w:t>无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>：</w:t>
      </w:r>
      <w:r>
        <w:rPr>
          <w:rFonts w:hint="eastAsia"/>
          <w:b/>
          <w:sz w:val="20"/>
        </w:rPr>
        <w:t>李伟</w:t>
      </w:r>
      <w:r>
        <w:rPr>
          <w:rFonts w:hint="eastAsia"/>
          <w:b/>
          <w:sz w:val="20"/>
          <w:lang w:eastAsia="zh-CN"/>
        </w:rPr>
        <w:t>、</w:t>
      </w:r>
      <w:r>
        <w:rPr>
          <w:rFonts w:hint="eastAsia" w:ascii="宋体"/>
          <w:b/>
          <w:sz w:val="18"/>
          <w:szCs w:val="18"/>
        </w:rPr>
        <w:t xml:space="preserve"> </w:t>
      </w:r>
      <w:r>
        <w:rPr>
          <w:rFonts w:hint="eastAsia" w:ascii="宋体"/>
          <w:b/>
          <w:sz w:val="18"/>
          <w:szCs w:val="18"/>
        </w:rPr>
        <w:t>王志慧</w:t>
      </w:r>
      <w:r>
        <w:rPr>
          <w:rFonts w:hint="eastAsia" w:ascii="宋体"/>
          <w:b/>
          <w:sz w:val="18"/>
          <w:szCs w:val="18"/>
        </w:rPr>
        <w:t xml:space="preserve">  </w:t>
      </w:r>
      <w:r>
        <w:rPr>
          <w:rFonts w:hint="eastAsia"/>
          <w:b/>
          <w:sz w:val="18"/>
          <w:szCs w:val="18"/>
        </w:rPr>
        <w:t xml:space="preserve">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：王志慧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2020年11月13日</w:t>
      </w:r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p>
      <w:pPr>
        <w:snapToGrid w:val="0"/>
        <w:rPr>
          <w:rFonts w:ascii="宋体"/>
          <w:b/>
          <w:spacing w:val="-6"/>
          <w:sz w:val="20"/>
        </w:rPr>
      </w:pPr>
    </w:p>
    <w:p>
      <w:pPr>
        <w:snapToGrid w:val="0"/>
        <w:rPr>
          <w:rFonts w:ascii="宋体"/>
          <w:b/>
          <w:spacing w:val="-6"/>
          <w:sz w:val="20"/>
        </w:rPr>
      </w:pP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图片 24" o:spid="_x0000_s2049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文本框 1" o:spid="_x0000_s2050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ISC-B-II-0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 xml:space="preserve"> 专业培训记录(03版)</w:t>
                </w:r>
              </w:p>
            </w:txbxContent>
          </v:textbox>
        </v:shape>
      </w:pict>
    </w:r>
    <w:r>
      <w:rPr>
        <w:rStyle w:val="12"/>
        <w:rFonts w:hint="default"/>
      </w:rPr>
      <w:t xml:space="preserve">        </w:t>
    </w:r>
    <w:r>
      <w:rPr>
        <w:rStyle w:val="12"/>
        <w:rFonts w:hint="default"/>
        <w:w w:val="90"/>
      </w:rPr>
      <w:t>Beijing International Standard united Certification Co.,Ltd.</w:t>
    </w:r>
    <w:r>
      <w:rPr>
        <w:rStyle w:val="12"/>
        <w:rFonts w:hint="default"/>
        <w:w w:val="90"/>
        <w:szCs w:val="21"/>
      </w:rPr>
      <w:t xml:space="preserve">  </w:t>
    </w:r>
    <w:r>
      <w:rPr>
        <w:rStyle w:val="12"/>
        <w:rFonts w:hint="default"/>
        <w:w w:val="90"/>
        <w:sz w:val="20"/>
      </w:rPr>
      <w:t xml:space="preserve"> </w:t>
    </w:r>
    <w:r>
      <w:rPr>
        <w:rStyle w:val="12"/>
        <w:rFonts w:hint="default"/>
        <w:w w:val="90"/>
      </w:rPr>
      <w:t xml:space="preserve">                   </w:t>
    </w:r>
  </w:p>
  <w:p>
    <w:pPr>
      <w:pStyle w:val="5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"/>
      <o:rules v:ext="edit">
        <o:r id="V:Rule1" type="connector" idref="#_x0000_s3074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1C45693"/>
    <w:rsid w:val="03A2287B"/>
    <w:rsid w:val="173C7A9E"/>
    <w:rsid w:val="17B44631"/>
    <w:rsid w:val="24FF7892"/>
    <w:rsid w:val="2A4A0B7F"/>
    <w:rsid w:val="36997292"/>
    <w:rsid w:val="457337BF"/>
    <w:rsid w:val="533B2219"/>
    <w:rsid w:val="73E72C8D"/>
    <w:rsid w:val="79402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unhideWhenUsed="0" w:uiPriority="0" w:semiHidden="0" w:name="Table Grid" w:locked="1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Body Text First Indent 2"/>
    <w:basedOn w:val="2"/>
    <w:qFormat/>
    <w:uiPriority w:val="0"/>
    <w:pPr>
      <w:spacing w:after="0"/>
      <w:ind w:left="0" w:leftChars="0" w:firstLine="420" w:firstLineChars="200"/>
      <w:jc w:val="left"/>
    </w:pPr>
    <w:rPr>
      <w:rFonts w:ascii="宋体" w:hAnsi="宋体" w:eastAsia="仿宋_GB2312"/>
      <w:color w:val="000000"/>
      <w:sz w:val="28"/>
    </w:rPr>
  </w:style>
  <w:style w:type="character" w:customStyle="1" w:styleId="9">
    <w:name w:val="页脚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字符"/>
    <w:link w:val="5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字符"/>
    <w:link w:val="3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46</Words>
  <Characters>267</Characters>
  <Lines>2</Lines>
  <Paragraphs>1</Paragraphs>
  <TotalTime>1</TotalTime>
  <ScaleCrop>false</ScaleCrop>
  <LinksUpToDate>false</LinksUpToDate>
  <CharactersWithSpaces>312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Joyce</cp:lastModifiedBy>
  <dcterms:modified xsi:type="dcterms:W3CDTF">2020-11-16T03:23:02Z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