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bookmarkStart w:id="12" w:name="_GoBack"/>
      <w:r>
        <w:rPr>
          <w:b/>
          <w:color w:val="000000" w:themeColor="text1"/>
          <w:sz w:val="22"/>
          <w:szCs w:val="22"/>
          <w:u w:val="single"/>
        </w:rPr>
        <w:t>四川省惠集优供应链管理有限责任公司</w:t>
      </w:r>
      <w:bookmarkEnd w:id="0"/>
      <w:bookmarkEnd w:id="12"/>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 xml:space="preserve">Sichuan </w:t>
      </w:r>
      <w:r>
        <w:rPr>
          <w:rFonts w:hint="eastAsia"/>
          <w:b/>
          <w:color w:val="000000" w:themeColor="text1"/>
          <w:sz w:val="22"/>
          <w:szCs w:val="22"/>
          <w:lang w:val="en-US" w:eastAsia="zh-CN"/>
        </w:rPr>
        <w:t>H</w:t>
      </w:r>
      <w:r>
        <w:rPr>
          <w:rFonts w:hint="eastAsia"/>
          <w:b/>
          <w:color w:val="000000" w:themeColor="text1"/>
          <w:sz w:val="22"/>
          <w:szCs w:val="22"/>
        </w:rPr>
        <w:t xml:space="preserve">uijiyou Supply Chain Management </w:t>
      </w:r>
      <w:r>
        <w:rPr>
          <w:rFonts w:hint="eastAsia"/>
          <w:b/>
          <w:color w:val="000000" w:themeColor="text1"/>
          <w:sz w:val="22"/>
          <w:szCs w:val="22"/>
          <w:lang w:val="en-US" w:eastAsia="zh-CN"/>
        </w:rPr>
        <w:t>LLC.</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成都市青羊区青羊大道128号附201-202号14幢2层</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610072</w:t>
      </w:r>
      <w:bookmarkEnd w:id="3"/>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 xml:space="preserve">Second </w:t>
      </w:r>
      <w:r>
        <w:rPr>
          <w:rFonts w:hint="eastAsia"/>
          <w:b/>
          <w:color w:val="000000" w:themeColor="text1"/>
          <w:sz w:val="22"/>
          <w:szCs w:val="22"/>
        </w:rPr>
        <w:t>F</w:t>
      </w:r>
      <w:r>
        <w:rPr>
          <w:rFonts w:hint="eastAsia"/>
          <w:b/>
          <w:color w:val="000000" w:themeColor="text1"/>
          <w:sz w:val="22"/>
          <w:szCs w:val="22"/>
          <w:lang w:val="en-US" w:eastAsia="zh-CN"/>
        </w:rPr>
        <w:t>loor</w:t>
      </w:r>
      <w:r>
        <w:rPr>
          <w:rFonts w:hint="eastAsia"/>
          <w:b/>
          <w:color w:val="000000" w:themeColor="text1"/>
          <w:sz w:val="22"/>
          <w:szCs w:val="22"/>
        </w:rPr>
        <w:t xml:space="preserve">, </w:t>
      </w:r>
      <w:r>
        <w:rPr>
          <w:rFonts w:hint="eastAsia"/>
          <w:b/>
          <w:color w:val="000000" w:themeColor="text1"/>
          <w:sz w:val="22"/>
          <w:szCs w:val="22"/>
          <w:lang w:val="en-US" w:eastAsia="zh-CN"/>
        </w:rPr>
        <w:t>B</w:t>
      </w:r>
      <w:r>
        <w:rPr>
          <w:rFonts w:hint="eastAsia"/>
          <w:b/>
          <w:color w:val="000000" w:themeColor="text1"/>
          <w:sz w:val="22"/>
          <w:szCs w:val="22"/>
        </w:rPr>
        <w:t xml:space="preserve">uilding 14, </w:t>
      </w:r>
      <w:r>
        <w:rPr>
          <w:rFonts w:hint="eastAsia"/>
          <w:b/>
          <w:color w:val="000000" w:themeColor="text1"/>
          <w:sz w:val="22"/>
          <w:szCs w:val="22"/>
          <w:lang w:val="en-US" w:eastAsia="zh-CN"/>
        </w:rPr>
        <w:t>N</w:t>
      </w:r>
      <w:r>
        <w:rPr>
          <w:rFonts w:hint="eastAsia"/>
          <w:b/>
          <w:color w:val="000000" w:themeColor="text1"/>
          <w:sz w:val="22"/>
          <w:szCs w:val="22"/>
        </w:rPr>
        <w:t>o.128-201-202, Qingyang Avenue, Qingyang District, Chengdu</w:t>
      </w:r>
      <w:r>
        <w:rPr>
          <w:rFonts w:hint="eastAsia"/>
          <w:b/>
          <w:color w:val="000000" w:themeColor="text1"/>
          <w:sz w:val="22"/>
          <w:szCs w:val="22"/>
          <w:lang w:val="en-US" w:eastAsia="zh-CN"/>
        </w:rPr>
        <w:t xml:space="preserve">,Sichuan Province,P.R.China,610072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组织经营地址(中文)：温江区柳城万春路156号6栋四楼内 邮编</w:t>
      </w:r>
      <w:r>
        <w:rPr>
          <w:rFonts w:hint="eastAsia" w:ascii="宋体" w:hAnsi="宋体"/>
          <w:b/>
          <w:color w:val="000000" w:themeColor="text1"/>
          <w:sz w:val="22"/>
          <w:szCs w:val="22"/>
        </w:rPr>
        <w:t>:</w:t>
      </w:r>
      <w:bookmarkStart w:id="4" w:name="生产邮编"/>
      <w:r>
        <w:rPr>
          <w:b/>
          <w:color w:val="000000" w:themeColor="text1"/>
          <w:sz w:val="22"/>
          <w:szCs w:val="22"/>
        </w:rPr>
        <w:t>61</w:t>
      </w:r>
      <w:bookmarkEnd w:id="4"/>
      <w:r>
        <w:rPr>
          <w:rFonts w:hint="eastAsia"/>
          <w:b/>
          <w:color w:val="000000" w:themeColor="text1"/>
          <w:sz w:val="22"/>
          <w:szCs w:val="22"/>
          <w:lang w:val="en-US" w:eastAsia="zh-CN"/>
        </w:rPr>
        <w:t>1133</w:t>
      </w:r>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(英文)：4</w:t>
      </w:r>
      <w:r>
        <w:rPr>
          <w:rFonts w:hint="eastAsia"/>
          <w:b/>
          <w:color w:val="000000" w:themeColor="text1"/>
          <w:sz w:val="22"/>
          <w:szCs w:val="22"/>
          <w:lang w:val="en-US" w:eastAsia="zh-CN"/>
        </w:rPr>
        <w:t>th Floor</w:t>
      </w:r>
      <w:r>
        <w:rPr>
          <w:rFonts w:hint="eastAsia"/>
          <w:b/>
          <w:color w:val="000000" w:themeColor="text1"/>
          <w:sz w:val="22"/>
          <w:szCs w:val="22"/>
        </w:rPr>
        <w:t xml:space="preserve">, </w:t>
      </w:r>
      <w:r>
        <w:rPr>
          <w:rFonts w:hint="eastAsia"/>
          <w:b/>
          <w:color w:val="000000" w:themeColor="text1"/>
          <w:sz w:val="22"/>
          <w:szCs w:val="22"/>
          <w:lang w:val="en-US" w:eastAsia="zh-CN"/>
        </w:rPr>
        <w:t>B</w:t>
      </w:r>
      <w:r>
        <w:rPr>
          <w:rFonts w:hint="eastAsia"/>
          <w:b/>
          <w:color w:val="000000" w:themeColor="text1"/>
          <w:sz w:val="22"/>
          <w:szCs w:val="22"/>
        </w:rPr>
        <w:t xml:space="preserve">uilding 6, </w:t>
      </w:r>
      <w:r>
        <w:rPr>
          <w:rFonts w:hint="eastAsia"/>
          <w:b/>
          <w:color w:val="000000" w:themeColor="text1"/>
          <w:sz w:val="22"/>
          <w:szCs w:val="22"/>
          <w:lang w:val="en-US" w:eastAsia="zh-CN"/>
        </w:rPr>
        <w:t>No.</w:t>
      </w:r>
      <w:r>
        <w:rPr>
          <w:rFonts w:hint="eastAsia"/>
          <w:b/>
          <w:color w:val="000000" w:themeColor="text1"/>
          <w:sz w:val="22"/>
          <w:szCs w:val="22"/>
        </w:rPr>
        <w:t>156</w:t>
      </w:r>
      <w:r>
        <w:rPr>
          <w:rFonts w:hint="eastAsia"/>
          <w:b/>
          <w:color w:val="000000" w:themeColor="text1"/>
          <w:sz w:val="22"/>
          <w:szCs w:val="22"/>
          <w:lang w:val="en-US" w:eastAsia="zh-CN"/>
        </w:rPr>
        <w:t>,</w:t>
      </w:r>
      <w:r>
        <w:rPr>
          <w:rFonts w:hint="eastAsia"/>
          <w:b/>
          <w:color w:val="000000" w:themeColor="text1"/>
          <w:sz w:val="22"/>
          <w:szCs w:val="22"/>
        </w:rPr>
        <w:t xml:space="preserve"> Liucheng</w:t>
      </w:r>
      <w:r>
        <w:rPr>
          <w:rFonts w:hint="eastAsia"/>
          <w:b/>
          <w:color w:val="000000" w:themeColor="text1"/>
          <w:sz w:val="22"/>
          <w:szCs w:val="22"/>
          <w:lang w:val="en-US" w:eastAsia="zh-CN"/>
        </w:rPr>
        <w:t xml:space="preserve"> </w:t>
      </w:r>
      <w:r>
        <w:rPr>
          <w:rFonts w:hint="eastAsia"/>
          <w:b/>
          <w:color w:val="000000" w:themeColor="text1"/>
          <w:sz w:val="22"/>
          <w:szCs w:val="22"/>
        </w:rPr>
        <w:t>Wanchun</w:t>
      </w:r>
      <w:r>
        <w:rPr>
          <w:rFonts w:hint="eastAsia"/>
          <w:b/>
          <w:color w:val="000000" w:themeColor="text1"/>
          <w:sz w:val="22"/>
          <w:szCs w:val="22"/>
          <w:lang w:val="en-US" w:eastAsia="zh-CN"/>
        </w:rPr>
        <w:t xml:space="preserve"> </w:t>
      </w:r>
      <w:r>
        <w:rPr>
          <w:rFonts w:hint="eastAsia"/>
          <w:b/>
          <w:color w:val="000000" w:themeColor="text1"/>
          <w:sz w:val="22"/>
          <w:szCs w:val="22"/>
        </w:rPr>
        <w:t>Road, Wenjiang District</w:t>
      </w:r>
      <w:r>
        <w:rPr>
          <w:rFonts w:hint="eastAsia"/>
          <w:b/>
          <w:color w:val="000000" w:themeColor="text1"/>
          <w:sz w:val="22"/>
          <w:szCs w:val="22"/>
          <w:lang w:val="en-US" w:eastAsia="zh-CN"/>
        </w:rPr>
        <w:t xml:space="preserve">, </w:t>
      </w:r>
      <w:r>
        <w:rPr>
          <w:rFonts w:hint="eastAsia"/>
          <w:b/>
          <w:color w:val="000000" w:themeColor="text1"/>
          <w:sz w:val="22"/>
          <w:szCs w:val="22"/>
        </w:rPr>
        <w:t>Chengdu</w:t>
      </w:r>
      <w:r>
        <w:rPr>
          <w:rFonts w:hint="eastAsia"/>
          <w:b/>
          <w:color w:val="000000" w:themeColor="text1"/>
          <w:sz w:val="22"/>
          <w:szCs w:val="22"/>
          <w:lang w:val="en-US" w:eastAsia="zh-CN"/>
        </w:rPr>
        <w:t xml:space="preserve">, Sichuan Province,P.R.China,611133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91510105MA6DFJ8M46</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18140152889</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r>
        <w:rPr>
          <w:rFonts w:hint="eastAsia"/>
          <w:b/>
          <w:color w:val="000000" w:themeColor="text1"/>
          <w:sz w:val="22"/>
          <w:szCs w:val="22"/>
          <w:lang w:val="en-US" w:eastAsia="zh-CN"/>
        </w:rPr>
        <w:t>杨承俊</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8" w:name="管理者代表"/>
      <w:r>
        <w:rPr>
          <w:rFonts w:hint="eastAsia"/>
          <w:b/>
          <w:color w:val="000000" w:themeColor="text1"/>
          <w:sz w:val="22"/>
          <w:szCs w:val="22"/>
        </w:rPr>
        <w:t>吴正刚</w:t>
      </w:r>
      <w:bookmarkEnd w:id="8"/>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9" w:name="企业人数"/>
      <w:r>
        <w:rPr>
          <w:b/>
          <w:color w:val="000000" w:themeColor="text1"/>
          <w:sz w:val="22"/>
          <w:szCs w:val="22"/>
        </w:rPr>
        <w:t>20</w:t>
      </w:r>
      <w:bookmarkEnd w:id="9"/>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0" w:name="审核依据"/>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Q：GB/T19001-2016/ISO9001:2015,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/ISO45001：2018,</w:t>
      </w:r>
    </w:p>
    <w:p>
      <w:pPr>
        <w:pStyle w:val="2"/>
        <w:spacing w:line="240" w:lineRule="auto"/>
        <w:ind w:firstLine="0"/>
        <w:rPr>
          <w:rFonts w:hint="default" w:ascii="宋体" w:hAnsi="宋体"/>
          <w:b/>
          <w:bCs w:val="0"/>
          <w:color w:val="000000" w:themeColor="text1"/>
          <w:sz w:val="22"/>
          <w:szCs w:val="22"/>
          <w:u w:val="single"/>
          <w:lang w:val="en-US" w:eastAsia="zh-CN"/>
        </w:rPr>
      </w:pPr>
      <w:r>
        <w:rPr>
          <w:rFonts w:hint="eastAsia" w:ascii="宋体" w:hAnsi="宋体"/>
          <w:b/>
          <w:color w:val="000000" w:themeColor="text1"/>
          <w:sz w:val="22"/>
          <w:szCs w:val="22"/>
          <w:u w:val="single"/>
        </w:rPr>
        <w:t>F：</w:t>
      </w:r>
      <w:r>
        <w:rPr>
          <w:rFonts w:hint="eastAsia" w:ascii="宋体" w:hAnsi="宋体"/>
          <w:b/>
          <w:color w:val="000000" w:themeColor="text1"/>
          <w:sz w:val="22"/>
          <w:szCs w:val="22"/>
          <w:u w:val="single"/>
          <w:lang w:val="en-US" w:eastAsia="zh-CN"/>
        </w:rPr>
        <w:t>ISO</w:t>
      </w:r>
      <w:r>
        <w:rPr>
          <w:rFonts w:hint="eastAsia" w:ascii="宋体" w:hAnsi="宋体"/>
          <w:b/>
          <w:color w:val="000000" w:themeColor="text1"/>
          <w:sz w:val="22"/>
          <w:szCs w:val="22"/>
          <w:u w:val="single"/>
        </w:rPr>
        <w:t>22000-20</w:t>
      </w:r>
      <w:bookmarkEnd w:id="10"/>
      <w:r>
        <w:rPr>
          <w:rFonts w:hint="eastAsia" w:ascii="宋体" w:hAnsi="宋体"/>
          <w:b/>
          <w:color w:val="000000" w:themeColor="text1"/>
          <w:sz w:val="22"/>
          <w:szCs w:val="22"/>
          <w:u w:val="single"/>
          <w:lang w:val="en-US" w:eastAsia="zh-CN"/>
        </w:rPr>
        <w:t>18&amp;</w:t>
      </w:r>
      <w:r>
        <w:rPr>
          <w:rFonts w:hint="eastAsia" w:ascii="宋体" w:hAnsi="宋体"/>
          <w:b/>
          <w:bCs w:val="0"/>
          <w:color w:val="000000" w:themeColor="text1"/>
          <w:sz w:val="22"/>
          <w:szCs w:val="22"/>
          <w:u w:val="single"/>
          <w:lang w:val="en-US" w:eastAsia="zh-CN"/>
        </w:rPr>
        <w:t xml:space="preserve"> </w:t>
      </w:r>
      <w:r>
        <w:rPr>
          <w:rFonts w:hint="eastAsia" w:ascii="宋体" w:hAnsi="宋体"/>
          <w:b/>
          <w:bCs w:val="0"/>
          <w:sz w:val="20"/>
          <w:u w:val="single"/>
          <w:lang w:val="en-GB"/>
        </w:rPr>
        <w:t xml:space="preserve">CNCA/CTS </w:t>
      </w:r>
      <w:r>
        <w:rPr>
          <w:rFonts w:ascii="宋体" w:hAnsi="宋体"/>
          <w:b/>
          <w:bCs w:val="0"/>
          <w:sz w:val="20"/>
          <w:u w:val="single"/>
          <w:lang w:val="en-GB"/>
        </w:rPr>
        <w:t>0013</w:t>
      </w:r>
      <w:r>
        <w:rPr>
          <w:rFonts w:hint="eastAsia" w:ascii="宋体" w:hAnsi="宋体"/>
          <w:b/>
          <w:bCs w:val="0"/>
          <w:sz w:val="20"/>
          <w:u w:val="single"/>
          <w:lang w:val="en-GB"/>
        </w:rPr>
        <w:t>-20</w:t>
      </w:r>
      <w:r>
        <w:rPr>
          <w:rFonts w:ascii="宋体" w:hAnsi="宋体"/>
          <w:b/>
          <w:bCs w:val="0"/>
          <w:sz w:val="20"/>
          <w:u w:val="single"/>
          <w:lang w:val="en-GB"/>
        </w:rPr>
        <w:t>14</w:t>
      </w:r>
      <w:r>
        <w:rPr>
          <w:rFonts w:hint="eastAsia" w:ascii="宋体" w:hAnsi="宋体"/>
          <w:b/>
          <w:bCs w:val="0"/>
          <w:sz w:val="20"/>
          <w:u w:val="single"/>
          <w:lang w:val="en-GB"/>
        </w:rPr>
        <w:t>（CCAA</w:t>
      </w:r>
      <w:r>
        <w:rPr>
          <w:rFonts w:ascii="宋体" w:hAnsi="宋体"/>
          <w:b/>
          <w:bCs w:val="0"/>
          <w:sz w:val="20"/>
          <w:u w:val="single"/>
          <w:lang w:val="en-GB"/>
        </w:rPr>
        <w:t>0021</w:t>
      </w:r>
      <w:r>
        <w:rPr>
          <w:rFonts w:hint="eastAsia" w:ascii="宋体" w:hAnsi="宋体"/>
          <w:b/>
          <w:bCs w:val="0"/>
          <w:sz w:val="20"/>
          <w:u w:val="single"/>
          <w:lang w:val="en-GB"/>
        </w:rPr>
        <w:t xml:space="preserve">-2014） </w:t>
      </w:r>
      <w:r>
        <w:rPr>
          <w:rFonts w:hint="eastAsia" w:ascii="宋体" w:hAnsi="宋体"/>
          <w:b/>
          <w:bCs w:val="0"/>
          <w:sz w:val="20"/>
          <w:u w:val="single"/>
          <w:lang w:val="en-GB" w:eastAsia="zh-CN"/>
        </w:rPr>
        <w:t>《</w:t>
      </w:r>
      <w:r>
        <w:rPr>
          <w:rFonts w:hint="eastAsia" w:ascii="宋体" w:hAnsi="宋体"/>
          <w:b/>
          <w:bCs w:val="0"/>
          <w:sz w:val="20"/>
          <w:u w:val="single"/>
          <w:lang w:val="en-GB"/>
        </w:rPr>
        <w:t>食品安全管理体系 运输和贮藏企业要求</w:t>
      </w:r>
      <w:r>
        <w:rPr>
          <w:rFonts w:hint="eastAsia" w:ascii="宋体" w:hAnsi="宋体"/>
          <w:b/>
          <w:bCs w:val="0"/>
          <w:sz w:val="20"/>
          <w:u w:val="single"/>
          <w:lang w:val="en-GB" w:eastAsia="zh-CN"/>
        </w:rPr>
        <w:t>》</w:t>
      </w:r>
      <w:r>
        <w:rPr>
          <w:rFonts w:hint="eastAsia" w:ascii="宋体" w:hAnsi="宋体"/>
          <w:b/>
          <w:bCs w:val="0"/>
          <w:sz w:val="21"/>
          <w:szCs w:val="21"/>
          <w:u w:val="single"/>
        </w:rPr>
        <w:t xml:space="preserve">  </w:t>
      </w:r>
    </w:p>
    <w:p>
      <w:pPr>
        <w:pStyle w:val="2"/>
        <w:spacing w:line="240" w:lineRule="auto"/>
        <w:ind w:firstLine="0"/>
        <w:rPr>
          <w:rFonts w:hint="eastAsia"/>
          <w:b/>
          <w:color w:val="000000" w:themeColor="text1"/>
          <w:spacing w:val="-2"/>
          <w:sz w:val="22"/>
          <w:szCs w:val="22"/>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1" w:name="审核类型"/>
      <w:r>
        <w:rPr>
          <w:rFonts w:hint="eastAsia"/>
          <w:b/>
          <w:color w:val="000000" w:themeColor="text1"/>
          <w:spacing w:val="-2"/>
          <w:sz w:val="22"/>
          <w:szCs w:val="22"/>
        </w:rPr>
        <w:t>Q:二阶段,E:二阶段,O:二阶段,F:二阶段</w:t>
      </w:r>
      <w:bookmarkEnd w:id="11"/>
    </w:p>
    <w:p>
      <w:pPr>
        <w:rPr>
          <w:rFonts w:hint="eastAsia"/>
          <w:b/>
          <w:bCs/>
          <w:szCs w:val="21"/>
          <w:lang w:val="en-US" w:eastAsia="zh-CN"/>
        </w:rPr>
      </w:pPr>
    </w:p>
    <w:p>
      <w:pPr>
        <w:rPr>
          <w:rFonts w:hint="default" w:ascii="宋体" w:hAnsi="宋体" w:eastAsia="宋体" w:cs="Times New Roman"/>
          <w:b/>
          <w:color w:val="000000" w:themeColor="text1"/>
          <w:kern w:val="2"/>
          <w:sz w:val="22"/>
          <w:szCs w:val="22"/>
          <w:u w:val="none"/>
          <w:lang w:val="en-US" w:eastAsia="zh-CN" w:bidi="ar-SA"/>
        </w:rPr>
      </w:pPr>
      <w:r>
        <w:rPr>
          <w:rFonts w:hint="eastAsia" w:ascii="宋体" w:hAnsi="宋体" w:eastAsia="宋体" w:cs="Times New Roman"/>
          <w:b/>
          <w:color w:val="000000" w:themeColor="text1"/>
          <w:kern w:val="2"/>
          <w:sz w:val="22"/>
          <w:szCs w:val="22"/>
          <w:u w:val="none"/>
          <w:lang w:val="en-US" w:eastAsia="zh-CN" w:bidi="ar-SA"/>
        </w:rPr>
        <w:t>认证范围：</w:t>
      </w: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Q:初级农产品、散装食品（含冷藏冷冻食品）、预包装食品（含冷藏冷冻食品）的销售</w:t>
      </w: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Sales of Primary Agricultural Products, Bulk Food (Including Refrigerated and Frozen Food), Prepackaged Food (Including Refrigerated and Frozen Food)</w:t>
      </w:r>
    </w:p>
    <w:p>
      <w:pPr>
        <w:rPr>
          <w:rFonts w:hint="eastAsia" w:ascii="宋体" w:hAnsi="宋体" w:eastAsia="宋体" w:cs="Times New Roman"/>
          <w:b/>
          <w:color w:val="000000" w:themeColor="text1"/>
          <w:kern w:val="2"/>
          <w:sz w:val="22"/>
          <w:szCs w:val="22"/>
          <w:u w:val="single"/>
          <w:lang w:val="en-US" w:eastAsia="zh-CN" w:bidi="ar-SA"/>
        </w:rPr>
      </w:pP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E：初级农产品、散装食品（含冷藏冷冻食品）、预包装食品（含冷藏冷冻食品）的销售及其相关的环境管理体系活动</w:t>
      </w: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Related Environmental Management System Activities of Sales of Primary Agricultural Products, Bulk Food (Including Refrigerated and Frozen Food), Prepackaged Food (Including Refrigerated and Frozen Food)</w:t>
      </w:r>
    </w:p>
    <w:p>
      <w:pPr>
        <w:rPr>
          <w:rFonts w:hint="eastAsia" w:ascii="宋体" w:hAnsi="宋体" w:eastAsia="宋体" w:cs="Times New Roman"/>
          <w:b/>
          <w:color w:val="000000" w:themeColor="text1"/>
          <w:kern w:val="2"/>
          <w:sz w:val="22"/>
          <w:szCs w:val="22"/>
          <w:u w:val="single"/>
          <w:lang w:val="en-US" w:eastAsia="zh-CN" w:bidi="ar-SA"/>
        </w:rPr>
      </w:pP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 xml:space="preserve"> O:初级农产品、散装食品（含冷藏冷冻食品）、预包装食品（含冷藏冷冻食品）的销售及其相关的职业健康安全管理体系活动</w:t>
      </w: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Related Occupational Health and Safety Environmental Management System Activities of Sales of Primary Agricultural Products, Bulk Food (Including Refrigerated and Frozen Food), Prepackaged Food (Including Refrigerated and Frozen Food)</w:t>
      </w:r>
    </w:p>
    <w:p>
      <w:pPr>
        <w:rPr>
          <w:rFonts w:hint="eastAsia" w:ascii="宋体" w:hAnsi="宋体" w:eastAsia="宋体" w:cs="Times New Roman"/>
          <w:b/>
          <w:color w:val="000000" w:themeColor="text1"/>
          <w:kern w:val="2"/>
          <w:sz w:val="22"/>
          <w:szCs w:val="22"/>
          <w:u w:val="single"/>
          <w:lang w:val="en-US" w:eastAsia="zh-CN" w:bidi="ar-SA"/>
        </w:rPr>
      </w:pP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F：位于四川省成都市温江区柳城万春路156号6栋四楼内的初级农产品、散装食品（含冷藏冷冻食品）、预包装食品（含冷藏冷冻食品）的销售（配送和贮藏）</w:t>
      </w:r>
    </w:p>
    <w:p>
      <w:pPr>
        <w:rPr>
          <w:rFonts w:hint="eastAsia" w:ascii="宋体" w:hAnsi="宋体" w:eastAsia="宋体" w:cs="Times New Roman"/>
          <w:b/>
          <w:color w:val="000000" w:themeColor="text1"/>
          <w:kern w:val="2"/>
          <w:sz w:val="22"/>
          <w:szCs w:val="22"/>
          <w:u w:val="single"/>
          <w:lang w:val="en-US" w:eastAsia="zh-CN" w:bidi="ar-SA"/>
        </w:rPr>
      </w:pPr>
      <w:r>
        <w:rPr>
          <w:rFonts w:hint="eastAsia" w:ascii="宋体" w:hAnsi="宋体" w:eastAsia="宋体" w:cs="Times New Roman"/>
          <w:b/>
          <w:color w:val="000000" w:themeColor="text1"/>
          <w:kern w:val="2"/>
          <w:sz w:val="22"/>
          <w:szCs w:val="22"/>
          <w:u w:val="single"/>
          <w:lang w:val="en-US" w:eastAsia="zh-CN" w:bidi="ar-SA"/>
        </w:rPr>
        <w:t>Sales of Primary Agricultural Products, Bulk Food (Including Refrigerated and Frozen Food), Prepackaged Food (Including Refrigerated and Frozen Food)  in the Fourth Floor of Building 6, No.156, Liucheng Wanchun Road, Wenjiang District, Chengdu City, Sichuan Province</w:t>
      </w:r>
    </w:p>
    <w:p>
      <w:pPr>
        <w:rPr>
          <w:rFonts w:hint="eastAsia"/>
          <w:szCs w:val="21"/>
          <w:u w:val="single"/>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0</w:t>
      </w:r>
      <w:r>
        <w:rPr>
          <w:rFonts w:hint="eastAsia"/>
          <w:b/>
          <w:color w:val="000000" w:themeColor="text1"/>
          <w:sz w:val="22"/>
          <w:szCs w:val="22"/>
        </w:rPr>
        <w:t>张；英文证书</w:t>
      </w:r>
      <w:r>
        <w:rPr>
          <w:rFonts w:hint="eastAsia"/>
          <w:b/>
          <w:color w:val="000000" w:themeColor="text1"/>
          <w:sz w:val="22"/>
          <w:szCs w:val="22"/>
          <w:lang w:val="en-US" w:eastAsia="zh-CN"/>
        </w:rPr>
        <w:t>0</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060242"/>
    <w:rsid w:val="26F00646"/>
    <w:rsid w:val="2B353F33"/>
    <w:rsid w:val="2E354D44"/>
    <w:rsid w:val="3899475D"/>
    <w:rsid w:val="38D96660"/>
    <w:rsid w:val="4B5B202E"/>
    <w:rsid w:val="4C4D55A2"/>
    <w:rsid w:val="52421757"/>
    <w:rsid w:val="646463BC"/>
    <w:rsid w:val="6E565130"/>
    <w:rsid w:val="703B5805"/>
    <w:rsid w:val="73BB0508"/>
    <w:rsid w:val="73FB41AB"/>
    <w:rsid w:val="741B2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2020-11-10T15:01:35Z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