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0600-2019-QEO-2020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甘肃省山丹福利水泥厂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eastAsia="zh-CN"/>
              </w:rPr>
              <w:t>企业联系人变更，原联系人：</w:t>
            </w:r>
            <w:bookmarkStart w:id="2" w:name="联系人"/>
            <w:r>
              <w:rPr>
                <w:rFonts w:ascii="宋体" w:hAnsi="宋体" w:cs="宋体"/>
                <w:color w:val="FF0000"/>
                <w:kern w:val="0"/>
                <w:szCs w:val="24"/>
                <w:u w:val="single"/>
              </w:rPr>
              <w:t>聂新瑞</w:t>
            </w:r>
            <w:bookmarkEnd w:id="2"/>
            <w:bookmarkStart w:id="3" w:name="联系人手机"/>
            <w:r>
              <w:rPr>
                <w:rFonts w:ascii="宋体" w:hAnsi="宋体" w:cs="宋体"/>
                <w:color w:val="FF0000"/>
                <w:kern w:val="0"/>
                <w:szCs w:val="24"/>
              </w:rPr>
              <w:t>1530936637</w:t>
            </w:r>
            <w:bookmarkEnd w:id="3"/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，变更</w:t>
            </w:r>
            <w:bookmarkStart w:id="5" w:name="_GoBack"/>
            <w:bookmarkEnd w:id="5"/>
            <w:r>
              <w:rPr>
                <w:rFonts w:hint="eastAsia" w:ascii="宋体" w:hAnsi="宋体" w:cs="宋体"/>
                <w:color w:val="FF0000"/>
                <w:kern w:val="0"/>
                <w:szCs w:val="24"/>
                <w:lang w:eastAsia="zh-CN"/>
              </w:rPr>
              <w:t>为：邹寿</w:t>
            </w:r>
            <w:r>
              <w:rPr>
                <w:rFonts w:hint="eastAsia" w:ascii="宋体" w:hAnsi="宋体" w:cs="宋体"/>
                <w:color w:val="FF0000"/>
                <w:kern w:val="0"/>
                <w:szCs w:val="24"/>
                <w:lang w:val="en-US" w:eastAsia="zh-CN"/>
              </w:rPr>
              <w:t>13993681510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45042"/>
    <w:multiLevelType w:val="singleLevel"/>
    <w:tmpl w:val="84E45042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C4EB8"/>
    <w:rsid w:val="500309D1"/>
    <w:rsid w:val="77BC4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2020-11-11T02:05:56Z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