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bCs/>
                <w:sz w:val="21"/>
                <w:szCs w:val="21"/>
              </w:rPr>
              <w:t>成都榆善劳务有限公司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 w:ascii="宋体" w:hAnsi="宋体"/>
                <w:sz w:val="20"/>
              </w:rPr>
              <w:sym w:font="Wingdings 2" w:char="00A3"/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sz w:val="20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bookmarkStart w:id="3" w:name="_GoBack"/>
            <w:bookmarkEnd w:id="3"/>
          </w:p>
          <w:p>
            <w:pPr>
              <w:rPr>
                <w:rFonts w:hint="eastAsia"/>
                <w:b/>
                <w:szCs w:val="21"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施工人员相关的三级培训的证实欠完整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钢结构施工记录的相关证实保留不完整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C76F8"/>
    <w:rsid w:val="44BD3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2020-11-01T03:00:40Z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