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勾选"/>
      <w:bookmarkStart w:id="1" w:name="Q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757"/>
        <w:gridCol w:w="773"/>
        <w:gridCol w:w="327"/>
        <w:gridCol w:w="963"/>
        <w:gridCol w:w="1505"/>
        <w:gridCol w:w="182"/>
        <w:gridCol w:w="375"/>
        <w:gridCol w:w="1163"/>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2857" w:type="dxa"/>
            <w:gridSpan w:val="3"/>
            <w:tcBorders>
              <w:top w:val="single" w:color="auto" w:sz="8" w:space="0"/>
            </w:tcBorders>
            <w:vAlign w:val="center"/>
          </w:tcPr>
          <w:p>
            <w:pPr>
              <w:snapToGrid w:val="0"/>
              <w:spacing w:line="280" w:lineRule="exact"/>
              <w:jc w:val="center"/>
              <w:rPr>
                <w:b/>
                <w:sz w:val="20"/>
              </w:rPr>
            </w:pPr>
            <w:bookmarkStart w:id="4" w:name="组织名称"/>
            <w:r>
              <w:rPr>
                <w:b/>
                <w:sz w:val="20"/>
              </w:rPr>
              <w:t>邻元科技（北京）有限公司</w:t>
            </w:r>
            <w:bookmarkEnd w:id="4"/>
          </w:p>
        </w:tc>
        <w:tc>
          <w:tcPr>
            <w:tcW w:w="2650" w:type="dxa"/>
            <w:gridSpan w:val="3"/>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2917" w:type="dxa"/>
            <w:gridSpan w:val="3"/>
            <w:tcBorders>
              <w:top w:val="single" w:color="auto" w:sz="8" w:space="0"/>
            </w:tcBorders>
            <w:vAlign w:val="center"/>
          </w:tcPr>
          <w:p>
            <w:pPr>
              <w:snapToGrid w:val="0"/>
              <w:spacing w:line="280" w:lineRule="exact"/>
              <w:ind w:left="52"/>
              <w:jc w:val="center"/>
              <w:rPr>
                <w:b/>
                <w:sz w:val="20"/>
              </w:rPr>
            </w:pPr>
            <w:bookmarkStart w:id="5" w:name="专业代码"/>
            <w:r>
              <w:rPr>
                <w:b/>
                <w:sz w:val="20"/>
              </w:rPr>
              <w:t>Q：29.09.02;33.02.01;34.05.00</w:t>
            </w:r>
          </w:p>
          <w:p>
            <w:pPr>
              <w:snapToGrid w:val="0"/>
              <w:spacing w:line="280" w:lineRule="exact"/>
              <w:ind w:left="52"/>
              <w:jc w:val="center"/>
              <w:rPr>
                <w:b/>
                <w:sz w:val="20"/>
              </w:rPr>
            </w:pPr>
            <w:r>
              <w:rPr>
                <w:b/>
                <w:sz w:val="20"/>
              </w:rPr>
              <w:t>E：29.09.02;33.02.01;34.05.00</w:t>
            </w:r>
          </w:p>
          <w:p>
            <w:pPr>
              <w:snapToGrid w:val="0"/>
              <w:spacing w:line="280" w:lineRule="exact"/>
              <w:ind w:left="52"/>
              <w:jc w:val="center"/>
              <w:rPr>
                <w:b/>
                <w:sz w:val="20"/>
              </w:rPr>
            </w:pPr>
            <w:r>
              <w:rPr>
                <w:b/>
                <w:sz w:val="20"/>
              </w:rPr>
              <w:t>O：29.09.02;33.02.01;34.05.00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1757"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李京田</w:t>
            </w:r>
          </w:p>
        </w:tc>
        <w:tc>
          <w:tcPr>
            <w:tcW w:w="1100" w:type="dxa"/>
            <w:gridSpan w:val="2"/>
            <w:vAlign w:val="center"/>
          </w:tcPr>
          <w:p>
            <w:pPr>
              <w:snapToGrid w:val="0"/>
              <w:spacing w:line="280" w:lineRule="exact"/>
              <w:jc w:val="center"/>
              <w:rPr>
                <w:b/>
                <w:sz w:val="22"/>
                <w:szCs w:val="22"/>
              </w:rPr>
            </w:pPr>
            <w:r>
              <w:rPr>
                <w:rFonts w:hint="eastAsia"/>
                <w:b/>
                <w:sz w:val="22"/>
                <w:szCs w:val="22"/>
              </w:rPr>
              <w:t>专业</w:t>
            </w:r>
          </w:p>
        </w:tc>
        <w:tc>
          <w:tcPr>
            <w:tcW w:w="3025" w:type="dxa"/>
            <w:gridSpan w:val="4"/>
            <w:vAlign w:val="center"/>
          </w:tcPr>
          <w:p>
            <w:pPr>
              <w:snapToGrid w:val="0"/>
              <w:spacing w:line="280" w:lineRule="exact"/>
              <w:ind w:left="52"/>
              <w:jc w:val="center"/>
              <w:rPr>
                <w:b/>
                <w:sz w:val="20"/>
              </w:rPr>
            </w:pPr>
            <w:r>
              <w:rPr>
                <w:b/>
                <w:sz w:val="20"/>
              </w:rPr>
              <w:t>Q：29.09.02;33.02.01;34.05.00</w:t>
            </w:r>
          </w:p>
          <w:p>
            <w:pPr>
              <w:snapToGrid w:val="0"/>
              <w:spacing w:line="280" w:lineRule="exact"/>
              <w:ind w:left="52"/>
              <w:jc w:val="center"/>
              <w:rPr>
                <w:b/>
                <w:sz w:val="20"/>
              </w:rPr>
            </w:pPr>
            <w:r>
              <w:rPr>
                <w:b/>
                <w:sz w:val="20"/>
              </w:rPr>
              <w:t>E：29.09.02;33.02.01;34.05.00</w:t>
            </w:r>
          </w:p>
          <w:p>
            <w:pPr>
              <w:snapToGrid w:val="0"/>
              <w:spacing w:line="280" w:lineRule="exact"/>
              <w:jc w:val="center"/>
              <w:rPr>
                <w:b/>
                <w:sz w:val="20"/>
              </w:rPr>
            </w:pPr>
            <w:r>
              <w:rPr>
                <w:b/>
                <w:sz w:val="20"/>
              </w:rPr>
              <w:t>O：29.09.02;33.02.01;34.05.00</w:t>
            </w:r>
          </w:p>
        </w:tc>
        <w:tc>
          <w:tcPr>
            <w:tcW w:w="1163"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2530" w:type="dxa"/>
            <w:gridSpan w:val="2"/>
            <w:vAlign w:val="center"/>
          </w:tcPr>
          <w:p>
            <w:pPr>
              <w:snapToGrid w:val="0"/>
              <w:spacing w:line="360" w:lineRule="exact"/>
              <w:jc w:val="center"/>
              <w:rPr>
                <w:rFonts w:hint="default" w:eastAsia="宋体"/>
                <w:b/>
                <w:sz w:val="20"/>
                <w:lang w:val="en-US" w:eastAsia="zh-CN"/>
              </w:rPr>
            </w:pPr>
            <w:r>
              <w:rPr>
                <w:rFonts w:hint="eastAsia"/>
                <w:b/>
                <w:sz w:val="20"/>
                <w:lang w:val="en-US" w:eastAsia="zh-CN"/>
              </w:rPr>
              <w:t>李雅静</w:t>
            </w:r>
          </w:p>
        </w:tc>
        <w:tc>
          <w:tcPr>
            <w:tcW w:w="1290" w:type="dxa"/>
            <w:gridSpan w:val="2"/>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gridSpan w:val="3"/>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2530" w:type="dxa"/>
            <w:gridSpan w:val="2"/>
            <w:vAlign w:val="center"/>
          </w:tcPr>
          <w:p>
            <w:pPr>
              <w:snapToGrid w:val="0"/>
              <w:spacing w:line="360" w:lineRule="exact"/>
              <w:jc w:val="center"/>
              <w:rPr>
                <w:rFonts w:hint="eastAsia" w:eastAsia="宋体"/>
                <w:b/>
                <w:sz w:val="20"/>
                <w:lang w:val="en-US" w:eastAsia="zh-CN"/>
              </w:rPr>
            </w:pPr>
            <w:r>
              <w:rPr>
                <w:rFonts w:hint="eastAsia"/>
                <w:b/>
                <w:sz w:val="20"/>
                <w:lang w:val="en-US" w:eastAsia="zh-CN"/>
              </w:rPr>
              <w:t>/</w:t>
            </w:r>
          </w:p>
        </w:tc>
        <w:tc>
          <w:tcPr>
            <w:tcW w:w="1290" w:type="dxa"/>
            <w:gridSpan w:val="2"/>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gridSpan w:val="3"/>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9"/>
            <w:vAlign w:val="center"/>
          </w:tcPr>
          <w:p>
            <w:pPr>
              <w:rPr>
                <w:rFonts w:hint="eastAsia"/>
              </w:rPr>
            </w:pPr>
            <w:r>
              <w:rPr>
                <w:rFonts w:hint="eastAsia"/>
              </w:rPr>
              <w:t>设计开发流程图：</w:t>
            </w:r>
          </w:p>
          <w:p>
            <w:pPr>
              <w:rPr>
                <w:rFonts w:hint="eastAsia"/>
              </w:rPr>
            </w:pPr>
            <w:r>
              <w:rPr>
                <w:rFonts w:hint="eastAsia"/>
              </w:rPr>
              <w:t>用户需求调研→设计任务书的确认→设计开发计划→资源分配→设计开发方案→输出系</w:t>
            </w:r>
          </w:p>
          <w:p>
            <w:pPr>
              <w:rPr>
                <w:rFonts w:hint="eastAsia"/>
              </w:rPr>
            </w:pPr>
            <w:r>
              <w:rPr>
                <w:rFonts w:hint="eastAsia"/>
              </w:rPr>
              <w:t>统方案→方案确认→产品验证→交付验收</w:t>
            </w:r>
          </w:p>
          <w:p>
            <w:pPr>
              <w:rPr>
                <w:rFonts w:hint="eastAsia"/>
              </w:rPr>
            </w:pPr>
          </w:p>
          <w:p>
            <w:pPr>
              <w:rPr>
                <w:rFonts w:hint="eastAsia"/>
              </w:rPr>
            </w:pPr>
            <w:r>
              <w:rPr>
                <w:rFonts w:hint="eastAsia"/>
              </w:rPr>
              <w:t>销售流程图：</w:t>
            </w:r>
          </w:p>
          <w:p>
            <w:pPr>
              <w:rPr>
                <w:rFonts w:hint="eastAsia"/>
              </w:rPr>
            </w:pPr>
            <w:r>
              <w:rPr>
                <w:rFonts w:hint="eastAsia"/>
              </w:rPr>
              <w:t>意向客户开发或招投标→询报价和洽谈→客户下单→合同评审、批准与签订→收款结算→</w:t>
            </w:r>
          </w:p>
          <w:p>
            <w:pPr>
              <w:rPr>
                <w:rFonts w:hint="eastAsia" w:eastAsiaTheme="minorEastAsia"/>
                <w:lang w:val="en-US" w:eastAsia="zh-CN"/>
              </w:rPr>
            </w:pPr>
            <w:r>
              <w:rPr>
                <w:rFonts w:hint="eastAsia"/>
              </w:rPr>
              <w:t>备货、发货→</w:t>
            </w:r>
            <w:r>
              <w:rPr>
                <w:rFonts w:hint="eastAsia"/>
                <w:lang w:val="en-US" w:eastAsia="zh-CN"/>
              </w:rPr>
              <w:t>验收</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9"/>
            <w:vAlign w:val="center"/>
          </w:tcPr>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设计开发控制：设计开发过程</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人 员</w:t>
            </w:r>
            <w:r>
              <w:rPr>
                <w:rFonts w:hint="eastAsia" w:ascii="Calibri" w:hAnsi="Calibri" w:eastAsia="宋体" w:cs="Times New Roman"/>
                <w:sz w:val="21"/>
                <w:szCs w:val="22"/>
                <w:lang w:val="en-US" w:eastAsia="zh-CN"/>
              </w:rPr>
              <w:tab/>
            </w:r>
            <w:r>
              <w:rPr>
                <w:rFonts w:hint="eastAsia" w:ascii="Calibri" w:hAnsi="Calibri" w:eastAsia="宋体" w:cs="Times New Roman"/>
                <w:sz w:val="21"/>
                <w:szCs w:val="22"/>
                <w:lang w:val="en-US" w:eastAsia="zh-CN"/>
              </w:rPr>
              <w:t>设计开发人员均有多年的专业设计过程部经验,并由公司组织进行了培训,通过实际设计过程业务考查,基本能确保设计过程服务进行.</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设 备/设施</w:t>
            </w:r>
            <w:r>
              <w:rPr>
                <w:rFonts w:hint="eastAsia" w:ascii="Calibri" w:hAnsi="Calibri" w:eastAsia="宋体" w:cs="Times New Roman"/>
                <w:sz w:val="21"/>
                <w:szCs w:val="22"/>
                <w:lang w:val="en-US" w:eastAsia="zh-CN"/>
              </w:rPr>
              <w:tab/>
            </w:r>
            <w:r>
              <w:rPr>
                <w:rFonts w:hint="eastAsia" w:ascii="Calibri" w:hAnsi="Calibri" w:eastAsia="宋体" w:cs="Times New Roman"/>
                <w:sz w:val="21"/>
                <w:szCs w:val="22"/>
                <w:lang w:val="en-US" w:eastAsia="zh-CN"/>
              </w:rPr>
              <w:t>设计过程服务场所、电脑、打印机等设计过程服务设施设计过程服务满足要求</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作业指导书</w:t>
            </w:r>
            <w:r>
              <w:rPr>
                <w:rFonts w:hint="eastAsia" w:ascii="Calibri" w:hAnsi="Calibri" w:eastAsia="宋体" w:cs="Times New Roman"/>
                <w:sz w:val="21"/>
                <w:szCs w:val="22"/>
                <w:lang w:val="en-US" w:eastAsia="zh-CN"/>
              </w:rPr>
              <w:tab/>
            </w:r>
            <w:r>
              <w:rPr>
                <w:rFonts w:hint="eastAsia" w:ascii="Calibri" w:hAnsi="Calibri" w:eastAsia="宋体" w:cs="Times New Roman"/>
                <w:sz w:val="21"/>
                <w:szCs w:val="22"/>
                <w:lang w:val="en-US" w:eastAsia="zh-CN"/>
              </w:rPr>
              <w:t>编制了与顾客有关的过程控制程序、供应商及采购控程序，设计过程服务管理制度、售后服务制度等文件,经确认有效可行，能确保设计过程服务进行.</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工作环境</w:t>
            </w:r>
            <w:r>
              <w:rPr>
                <w:rFonts w:hint="eastAsia" w:ascii="Calibri" w:hAnsi="Calibri" w:eastAsia="宋体" w:cs="Times New Roman"/>
                <w:sz w:val="21"/>
                <w:szCs w:val="22"/>
                <w:lang w:val="en-US" w:eastAsia="zh-CN"/>
              </w:rPr>
              <w:tab/>
            </w:r>
            <w:r>
              <w:rPr>
                <w:rFonts w:hint="eastAsia" w:ascii="Calibri" w:hAnsi="Calibri" w:eastAsia="宋体" w:cs="Times New Roman"/>
                <w:sz w:val="21"/>
                <w:szCs w:val="22"/>
                <w:lang w:val="en-US" w:eastAsia="zh-CN"/>
              </w:rPr>
              <w:t>设计过程办公工作环境及设计过程环境确保设计过程服务的有效进行</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销售控制：</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售前：走访用户、了解相关信息等，与顾客签订合同或订单；</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售中：组织供方按期交付，解决用户对进度、质量等关切问题；</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售后：与客户保持密切沟通，不定期回访用户，并对顾客反馈问题解答。体系建立实施至今未发生严重顾客投诉。</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市场部获取销售信息，与客户洽谈，在签订合同前对客户要求进行评审，确认可以满足行业有关法律、法规要求和公司规定及客户要求时，签订合同，根据销售合同为客户提供服务。</w:t>
            </w:r>
          </w:p>
          <w:p>
            <w:pPr>
              <w:snapToGrid w:val="0"/>
              <w:spacing w:line="280" w:lineRule="exact"/>
              <w:jc w:val="center"/>
              <w:rPr>
                <w:rFonts w:ascii="Times New Roman" w:hAnsi="Times New Roman" w:eastAsia="宋体" w:cs="Times New Roman"/>
                <w:b/>
                <w:kern w:val="2"/>
                <w:sz w:val="20"/>
                <w:lang w:val="en-US" w:eastAsia="zh-CN" w:bidi="ar-SA"/>
              </w:rPr>
            </w:pPr>
            <w:bookmarkStart w:id="6" w:name="_GoBack"/>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9"/>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提供的“环境因素识别评价表”“重要环境因素清单”， 评价考虑了三种时态现在、过去、将来、三种状态、异常、正常、紧急考虑了法律法规，并进行了评价，识别技术管理过程，用打分法考虑了法规符合性、发生频次、影响范围等, 通过定性判断法，共识别出重大环境因素2项：固废排放、火灾，评价符合程序要求及公司的实际情况。</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对重要环境因素的控制措施包括制定管理制度、监督检查、应急预案、培训等。提供《重要环境因素识别清单》，其中综合办涉及的重要环境因素：固废排放、意外火灾的发生，评价基本合理。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9"/>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执行《危险源识别和评价控制程序》</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等。</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用LEC法对识别的危险源进行评价，本部门不可接受风险火灾、触电、意外伤害评价基本准确。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9"/>
            <w:vAlign w:val="center"/>
          </w:tcPr>
          <w:p>
            <w:pPr>
              <w:rPr>
                <w:rFonts w:ascii="宋体" w:hAnsi="宋体"/>
              </w:rPr>
            </w:pPr>
            <w:r>
              <w:rPr>
                <w:rFonts w:hint="eastAsia" w:ascii="宋体" w:hAnsi="宋体"/>
              </w:rPr>
              <w:t>《智能化建筑设计标准》GB50314-2015</w:t>
            </w:r>
          </w:p>
          <w:p>
            <w:pPr>
              <w:rPr>
                <w:rFonts w:ascii="宋体" w:hAnsi="宋体"/>
              </w:rPr>
            </w:pPr>
            <w:r>
              <w:rPr>
                <w:rFonts w:hint="eastAsia" w:ascii="宋体" w:hAnsi="宋体"/>
              </w:rPr>
              <w:t>《建筑智能化系统工程设计标准》DBJ13-32-2000</w:t>
            </w:r>
          </w:p>
          <w:p>
            <w:pPr>
              <w:rPr>
                <w:rFonts w:ascii="宋体" w:hAnsi="宋体"/>
              </w:rPr>
            </w:pPr>
            <w:r>
              <w:rPr>
                <w:rFonts w:hint="eastAsia" w:ascii="宋体" w:hAnsi="宋体"/>
              </w:rPr>
              <w:t>《建筑与建筑群综合布线系统工程设计规范》GB/T50311-2007</w:t>
            </w:r>
          </w:p>
          <w:p>
            <w:pPr>
              <w:rPr>
                <w:rFonts w:ascii="宋体" w:hAnsi="宋体"/>
              </w:rPr>
            </w:pPr>
            <w:r>
              <w:rPr>
                <w:rFonts w:hint="eastAsia" w:ascii="宋体" w:hAnsi="宋体"/>
              </w:rPr>
              <w:t>《大楼通信综合布线系统》YD/T926</w:t>
            </w:r>
          </w:p>
          <w:p>
            <w:pPr>
              <w:rPr>
                <w:rFonts w:ascii="宋体" w:hAnsi="宋体"/>
              </w:rPr>
            </w:pPr>
            <w:r>
              <w:rPr>
                <w:rFonts w:hint="eastAsia" w:ascii="宋体" w:hAnsi="宋体"/>
              </w:rPr>
              <w:t>《公共建筑电磁兼容设计规范》DG/TJ08-1104-2006</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9"/>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9"/>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bl>
    <w:p>
      <w:pPr>
        <w:snapToGrid w:val="0"/>
        <w:rPr>
          <w:rFonts w:ascii="宋体"/>
          <w:b/>
          <w:sz w:val="22"/>
          <w:szCs w:val="22"/>
        </w:rPr>
      </w:pPr>
    </w:p>
    <w:p>
      <w:pPr>
        <w:snapToGrid w:val="0"/>
        <w:rPr>
          <w:rFonts w:ascii="宋体"/>
          <w:b/>
          <w:sz w:val="22"/>
          <w:szCs w:val="22"/>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 xml:space="preserve">： </w:t>
      </w:r>
      <w:r>
        <w:rPr>
          <w:rFonts w:hint="eastAsia"/>
          <w:b/>
          <w:sz w:val="18"/>
          <w:szCs w:val="18"/>
          <w:lang w:val="en-US" w:eastAsia="zh-CN"/>
        </w:rPr>
        <w:t>2020.11.2</w:t>
      </w:r>
      <w:r>
        <w:rPr>
          <w:rFonts w:hint="eastAsia"/>
          <w:b/>
          <w:sz w:val="18"/>
          <w:szCs w:val="18"/>
        </w:rPr>
        <w:t xml:space="preserve">          </w:t>
      </w:r>
      <w:r>
        <w:rPr>
          <w:rFonts w:hint="eastAsia" w:ascii="宋体"/>
          <w:b/>
          <w:sz w:val="22"/>
          <w:szCs w:val="22"/>
        </w:rPr>
        <w:t>审核组长</w:t>
      </w:r>
      <w:r>
        <w:rPr>
          <w:rFonts w:hint="eastAsia" w:ascii="宋体"/>
          <w:b/>
          <w:sz w:val="18"/>
          <w:szCs w:val="18"/>
        </w:rPr>
        <w:t>：</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 xml:space="preserve">： </w:t>
      </w:r>
      <w:r>
        <w:rPr>
          <w:rFonts w:hint="eastAsia"/>
          <w:b/>
          <w:sz w:val="18"/>
          <w:szCs w:val="18"/>
          <w:lang w:val="en-US" w:eastAsia="zh-CN"/>
        </w:rPr>
        <w:t>2020.11.2</w:t>
      </w:r>
      <w:r>
        <w:rPr>
          <w:rFonts w:hint="eastAsia"/>
          <w:b/>
          <w:sz w:val="18"/>
          <w:szCs w:val="18"/>
        </w:rPr>
        <w:t xml:space="preserve"> </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1"/>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F846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8"/>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qFormat/>
    <w:locked/>
    <w:uiPriority w:val="99"/>
    <w:rPr>
      <w:rFonts w:ascii="Times New Roman" w:hAnsi="Times New Roman" w:eastAsia="宋体" w:cs="Times New Roman"/>
      <w:sz w:val="18"/>
      <w:szCs w:val="18"/>
    </w:rPr>
  </w:style>
  <w:style w:type="character" w:customStyle="1" w:styleId="9">
    <w:name w:val="页眉 字符"/>
    <w:link w:val="5"/>
    <w:locked/>
    <w:uiPriority w:val="99"/>
    <w:rPr>
      <w:rFonts w:ascii="Times New Roman" w:hAnsi="Times New Roman" w:eastAsia="宋体" w:cs="Times New Roman"/>
      <w:sz w:val="18"/>
      <w:szCs w:val="18"/>
    </w:rPr>
  </w:style>
  <w:style w:type="character" w:customStyle="1" w:styleId="10">
    <w:name w:val="批注框文本 字符"/>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0</TotalTime>
  <ScaleCrop>false</ScaleCrop>
  <LinksUpToDate>false</LinksUpToDate>
  <CharactersWithSpaces>314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86136</cp:lastModifiedBy>
  <dcterms:modified xsi:type="dcterms:W3CDTF">2020-11-01T14:50:46Z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