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4925" cy="9077325"/>
            <wp:effectExtent l="0" t="0" r="3175" b="3175"/>
            <wp:docPr id="2" name="图片 2" descr="不符合项报告（供方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不符合项报告（供方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4925" cy="9077325"/>
            <wp:effectExtent l="0" t="0" r="3175" b="3175"/>
            <wp:docPr id="3" name="图片 3" descr="纠正措施（供方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纠正措施（供方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4925" cy="9077325"/>
            <wp:effectExtent l="0" t="0" r="3175" b="3175"/>
            <wp:docPr id="4" name="图片 4" descr="不符合项报告（图纸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不符合项报告（图纸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4925" cy="9077325"/>
            <wp:effectExtent l="0" t="0" r="3175" b="3175"/>
            <wp:docPr id="5" name="图片 5" descr="纠正措施表（图纸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纠正措施表（图纸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4925" cy="9077325"/>
            <wp:effectExtent l="0" t="0" r="3175" b="3175"/>
            <wp:docPr id="6" name="图片 6" descr="不符合项报告（法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不符合项报告（法规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4925" cy="9077325"/>
            <wp:effectExtent l="0" t="0" r="3175" b="3175"/>
            <wp:docPr id="7" name="图片 7" descr="法规清单纠正措施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法规清单纠正措施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5080000" cy="3810000"/>
            <wp:effectExtent l="0" t="0" r="0" b="0"/>
            <wp:docPr id="8" name="图片 8" descr="钢筋质量证明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钢筋质量证明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5080000" cy="3810000"/>
            <wp:effectExtent l="0" t="0" r="0" b="0"/>
            <wp:docPr id="9" name="图片 9" descr="钢筋质量证明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钢筋质量证明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5080000" cy="3810000"/>
            <wp:effectExtent l="0" t="0" r="0" b="0"/>
            <wp:docPr id="10" name="图片 10" descr="钢材质量证明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钢材质量证明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3810000" cy="5080000"/>
            <wp:effectExtent l="0" t="0" r="0" b="0"/>
            <wp:docPr id="11" name="图片 11" descr="聚苯板合格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聚苯板合格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3810000" cy="5080000"/>
            <wp:effectExtent l="0" t="0" r="0" b="0"/>
            <wp:docPr id="12" name="图片 12" descr="聚苯板检验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聚苯板检验报告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3810000" cy="5080000"/>
            <wp:effectExtent l="0" t="0" r="0" b="0"/>
            <wp:docPr id="13" name="图片 13" descr="PVC排水管检验报告（封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VC排水管检验报告（封面）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3810000" cy="5080000"/>
            <wp:effectExtent l="0" t="0" r="0" b="0"/>
            <wp:docPr id="14" name="图片 14" descr="PVC排水管检验报告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PVC排水管检验报告（1）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3810000" cy="5080000"/>
            <wp:effectExtent l="0" t="0" r="0" b="0"/>
            <wp:docPr id="15" name="图片 15" descr="塑料管材检验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塑料管材检验报告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3810000" cy="5080000"/>
            <wp:effectExtent l="0" t="0" r="0" b="0"/>
            <wp:docPr id="16" name="图片 16" descr="质量检测报告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质量检测报告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3810000" cy="5080000"/>
            <wp:effectExtent l="0" t="0" r="0" b="0"/>
            <wp:docPr id="17" name="图片 17" descr="质量检测报告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质量检测报告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3655" cy="4787900"/>
            <wp:effectExtent l="0" t="0" r="4445" b="0"/>
            <wp:docPr id="18" name="图片 18" descr="图纸妥善保管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纸妥善保管图片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drawing>
          <wp:inline distT="0" distB="0" distL="114300" distR="114300">
            <wp:extent cx="6382385" cy="1529080"/>
            <wp:effectExtent l="0" t="0" r="5715" b="762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bookmarkStart w:id="0" w:name="_GoBack"/>
      <w:bookmarkEnd w:id="0"/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drawing>
          <wp:inline distT="0" distB="0" distL="114300" distR="114300">
            <wp:extent cx="6384925" cy="1173480"/>
            <wp:effectExtent l="0" t="0" r="3175" b="762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="宋体" w:hAnsi="宋体" w:eastAsia="宋体"/>
          <w:b/>
          <w:sz w:val="36"/>
          <w:szCs w:val="36"/>
          <w:lang w:eastAsia="zh-CN"/>
        </w:rPr>
      </w:pPr>
      <w:r>
        <w:rPr>
          <w:rFonts w:hint="eastAsia" w:ascii="宋体" w:hAnsi="宋体" w:eastAsia="宋体"/>
          <w:b/>
          <w:sz w:val="36"/>
          <w:szCs w:val="36"/>
          <w:lang w:eastAsia="zh-CN"/>
        </w:rPr>
        <w:drawing>
          <wp:inline distT="0" distB="0" distL="114300" distR="114300">
            <wp:extent cx="6388735" cy="3588385"/>
            <wp:effectExtent l="0" t="0" r="12065" b="5715"/>
            <wp:docPr id="21" name="图片 21" descr="21791a7553095c8c73e32fe99ddc0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1791a7553095c8c73e32fe99ddc0c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sz w:val="36"/>
          <w:szCs w:val="36"/>
        </w:rPr>
      </w:pPr>
    </w:p>
    <w:p>
      <w:pPr>
        <w:jc w:val="center"/>
        <w:rPr>
          <w:rFonts w:hint="eastAsia" w:ascii="宋体" w:hAnsi="宋体"/>
          <w:b/>
          <w:sz w:val="36"/>
          <w:szCs w:val="36"/>
        </w:rPr>
      </w:pPr>
    </w:p>
    <w:p>
      <w:pPr>
        <w:jc w:val="center"/>
        <w:rPr>
          <w:rFonts w:hint="eastAsia" w:ascii="宋体" w:hAnsi="宋体"/>
          <w:b/>
          <w:sz w:val="36"/>
          <w:szCs w:val="36"/>
        </w:rPr>
      </w:pPr>
    </w:p>
    <w:p>
      <w:pPr>
        <w:jc w:val="center"/>
        <w:rPr>
          <w:rFonts w:hint="eastAsia" w:ascii="宋体" w:hAnsi="宋体"/>
          <w:b/>
          <w:sz w:val="36"/>
          <w:szCs w:val="36"/>
        </w:rPr>
      </w:pPr>
    </w:p>
    <w:p>
      <w:pPr>
        <w:jc w:val="center"/>
        <w:rPr>
          <w:rFonts w:hint="eastAsia" w:ascii="宋体" w:hAnsi="宋体"/>
          <w:b/>
          <w:sz w:val="36"/>
          <w:szCs w:val="36"/>
        </w:rPr>
      </w:pPr>
    </w:p>
    <w:p>
      <w:pPr>
        <w:jc w:val="center"/>
        <w:rPr>
          <w:rFonts w:hint="eastAsia" w:ascii="宋体" w:hAnsi="宋体"/>
          <w:b/>
          <w:sz w:val="36"/>
          <w:szCs w:val="36"/>
        </w:rPr>
      </w:pPr>
    </w:p>
    <w:p>
      <w:pPr>
        <w:jc w:val="center"/>
        <w:rPr>
          <w:rFonts w:hint="eastAsia" w:ascii="宋体" w:hAnsi="宋体"/>
          <w:b/>
          <w:sz w:val="36"/>
          <w:szCs w:val="36"/>
        </w:rPr>
      </w:pPr>
    </w:p>
    <w:p>
      <w:pPr>
        <w:jc w:val="center"/>
        <w:rPr>
          <w:rFonts w:hint="eastAsia" w:ascii="宋体" w:hAnsi="宋体"/>
          <w:b/>
          <w:sz w:val="36"/>
          <w:szCs w:val="36"/>
        </w:rPr>
      </w:pPr>
    </w:p>
    <w:p>
      <w:pPr>
        <w:jc w:val="center"/>
        <w:rPr>
          <w:rFonts w:hint="eastAsia" w:ascii="宋体" w:hAnsi="宋体"/>
          <w:b/>
          <w:sz w:val="36"/>
          <w:szCs w:val="36"/>
        </w:rPr>
      </w:pPr>
    </w:p>
    <w:p>
      <w:pPr>
        <w:jc w:val="center"/>
        <w:rPr>
          <w:rFonts w:hint="eastAsia" w:ascii="宋体" w:hAnsi="宋体"/>
          <w:b/>
          <w:sz w:val="36"/>
          <w:szCs w:val="36"/>
        </w:rPr>
      </w:pPr>
    </w:p>
    <w:p>
      <w:pPr>
        <w:jc w:val="center"/>
        <w:rPr>
          <w:rFonts w:hint="eastAsia" w:ascii="宋体" w:hAnsi="宋体"/>
          <w:b/>
          <w:sz w:val="36"/>
          <w:szCs w:val="36"/>
        </w:rPr>
      </w:pPr>
    </w:p>
    <w:p>
      <w:pPr>
        <w:jc w:val="center"/>
        <w:rPr>
          <w:rFonts w:hint="eastAsia" w:ascii="宋体" w:hAnsi="宋体"/>
          <w:b/>
          <w:sz w:val="36"/>
          <w:szCs w:val="36"/>
        </w:rPr>
      </w:pPr>
    </w:p>
    <w:p>
      <w:pPr>
        <w:jc w:val="center"/>
        <w:rPr>
          <w:rFonts w:hint="eastAsia" w:ascii="宋体" w:hAnsi="宋体"/>
          <w:b/>
          <w:sz w:val="36"/>
          <w:szCs w:val="36"/>
        </w:rPr>
      </w:pPr>
    </w:p>
    <w:p>
      <w:pPr>
        <w:ind w:firstLine="3614" w:firstLineChars="1000"/>
        <w:jc w:val="both"/>
        <w:rPr>
          <w:rFonts w:asci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培训有效性评价表</w:t>
      </w:r>
    </w:p>
    <w:tbl>
      <w:tblPr>
        <w:tblStyle w:val="6"/>
        <w:tblW w:w="99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3"/>
        <w:gridCol w:w="3279"/>
        <w:gridCol w:w="1640"/>
        <w:gridCol w:w="32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763" w:type="dxa"/>
            <w:vAlign w:val="center"/>
          </w:tcPr>
          <w:p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</w:rPr>
              <w:t>培训岗位</w:t>
            </w:r>
          </w:p>
        </w:tc>
        <w:tc>
          <w:tcPr>
            <w:tcW w:w="3279" w:type="dxa"/>
            <w:vAlign w:val="center"/>
          </w:tcPr>
          <w:p>
            <w:pPr>
              <w:rPr>
                <w:rFonts w:hint="eastAsia" w:ascii="宋体" w:hAnsi="宋体" w:eastAsiaTheme="minorEastAsia"/>
                <w:sz w:val="24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综合部、工程监理部（项目部）：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</w:rPr>
              <w:t>培训方式</w:t>
            </w:r>
          </w:p>
        </w:tc>
        <w:tc>
          <w:tcPr>
            <w:tcW w:w="3297" w:type="dxa"/>
            <w:vAlign w:val="center"/>
          </w:tcPr>
          <w:p>
            <w:pPr>
              <w:ind w:firstLine="960" w:firstLineChars="4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授课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763" w:type="dxa"/>
            <w:vAlign w:val="center"/>
          </w:tcPr>
          <w:p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</w:rPr>
              <w:t>培训人数</w:t>
            </w:r>
          </w:p>
        </w:tc>
        <w:tc>
          <w:tcPr>
            <w:tcW w:w="3279" w:type="dxa"/>
            <w:vAlign w:val="center"/>
          </w:tcPr>
          <w:p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/>
                <w:sz w:val="24"/>
                <w:szCs w:val="24"/>
              </w:rPr>
              <w:t>人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</w:rPr>
              <w:t>考核方式</w:t>
            </w:r>
          </w:p>
        </w:tc>
        <w:tc>
          <w:tcPr>
            <w:tcW w:w="3297" w:type="dxa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现场提问、现场整改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763" w:type="dxa"/>
            <w:vAlign w:val="center"/>
          </w:tcPr>
          <w:p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</w:rPr>
              <w:t>授课人</w:t>
            </w:r>
          </w:p>
        </w:tc>
        <w:tc>
          <w:tcPr>
            <w:tcW w:w="3279" w:type="dxa"/>
            <w:vAlign w:val="center"/>
          </w:tcPr>
          <w:p>
            <w:pPr>
              <w:jc w:val="center"/>
              <w:rPr>
                <w:rFonts w:hint="default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val="en-US" w:eastAsia="zh-CN"/>
              </w:rPr>
              <w:t>管理者代表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</w:rPr>
              <w:t>时</w:t>
            </w:r>
            <w:r>
              <w:rPr>
                <w:rFonts w:ascii="宋体" w:hAnsi="宋体"/>
                <w:sz w:val="24"/>
              </w:rPr>
              <w:t xml:space="preserve">   </w:t>
            </w:r>
            <w:r>
              <w:rPr>
                <w:rFonts w:hint="eastAsia" w:ascii="宋体" w:hAnsi="宋体"/>
                <w:sz w:val="24"/>
              </w:rPr>
              <w:t>间</w:t>
            </w:r>
          </w:p>
        </w:tc>
        <w:tc>
          <w:tcPr>
            <w:tcW w:w="3297" w:type="dxa"/>
            <w:vAlign w:val="center"/>
          </w:tcPr>
          <w:p>
            <w:pPr>
              <w:rPr>
                <w:rFonts w:hint="default" w:ascii="宋体" w:hAns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20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20</w:t>
            </w:r>
            <w:r>
              <w:rPr>
                <w:rFonts w:hint="eastAsia" w:ascii="宋体" w:hAnsi="宋体"/>
                <w:sz w:val="24"/>
              </w:rPr>
              <w:t>.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11</w:t>
            </w:r>
            <w:r>
              <w:rPr>
                <w:rFonts w:hint="eastAsia" w:ascii="宋体" w:hAnsi="宋体"/>
                <w:sz w:val="24"/>
              </w:rPr>
              <w:t>.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763" w:type="dxa"/>
            <w:vAlign w:val="center"/>
          </w:tcPr>
          <w:p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</w:rPr>
              <w:t>培训地点</w:t>
            </w:r>
          </w:p>
        </w:tc>
        <w:tc>
          <w:tcPr>
            <w:tcW w:w="3279" w:type="dxa"/>
            <w:vAlign w:val="center"/>
          </w:tcPr>
          <w:p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</w:rPr>
              <w:t>公司会议室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</w:rPr>
              <w:t>考核地点</w:t>
            </w:r>
          </w:p>
        </w:tc>
        <w:tc>
          <w:tcPr>
            <w:tcW w:w="3297" w:type="dxa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公司会议室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8" w:hRule="atLeast"/>
          <w:jc w:val="center"/>
        </w:trPr>
        <w:tc>
          <w:tcPr>
            <w:tcW w:w="9979" w:type="dxa"/>
            <w:gridSpan w:val="4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培训内容:</w:t>
            </w:r>
          </w:p>
          <w:p>
            <w:pPr>
              <w:pStyle w:val="3"/>
              <w:ind w:firstLine="482"/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 xml:space="preserve"> 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1、</w:t>
            </w:r>
            <w:r>
              <w:rPr>
                <w:rFonts w:hint="eastAsia"/>
                <w:lang w:val="en-US" w:eastAsia="zh-CN"/>
              </w:rPr>
              <w:t>GB/T 19001-2016 idt ISO 9001:2015标准8.4.1条款</w:t>
            </w:r>
            <w:r>
              <w:rPr>
                <w:rFonts w:hint="eastAsia"/>
              </w:rPr>
              <w:t>组织应基于外部供方按照要求提供过程、产品或服务的能力，确定外部供方的评价、选择、绩效监视以及再评价的准则，并加以实施。对于这些活动和由评价引发的任何必要的措施，组织应保留形成文件的信息。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</w:p>
          <w:p>
            <w:pPr>
              <w:snapToGrid w:val="0"/>
              <w:spacing w:line="360" w:lineRule="exact"/>
              <w:rPr>
                <w:rFonts w:hint="eastAsia" w:ascii="宋体" w:hAnsi="宋体"/>
                <w:color w:val="auto"/>
                <w:sz w:val="24"/>
                <w:szCs w:val="24"/>
              </w:rPr>
            </w:pPr>
            <w:r>
              <w:rPr>
                <w:rFonts w:hint="eastAsia"/>
                <w:lang w:val="en-US" w:eastAsia="zh-CN"/>
              </w:rPr>
              <w:t xml:space="preserve">    2、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GB/T 19001-2016 idt ISO 9001:2015标准8.5.3条款</w:t>
            </w:r>
            <w:r>
              <w:rPr>
                <w:rFonts w:hint="eastAsia"/>
              </w:rPr>
              <w:t>组织在控制或使用顾客或外部供方的财产期间，应对其进行妥善管理。</w:t>
            </w:r>
          </w:p>
          <w:p>
            <w:pPr>
              <w:ind w:firstLine="480" w:firstLineChars="200"/>
              <w:rPr>
                <w:rFonts w:hint="default" w:ascii="宋体" w:hAnsi="宋体" w:cs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/>
                <w:szCs w:val="21"/>
              </w:rPr>
              <w:t>相关人员对GB/T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24</w:t>
            </w:r>
            <w:r>
              <w:rPr>
                <w:rFonts w:hint="eastAsia" w:ascii="宋体" w:hAnsi="宋体"/>
                <w:szCs w:val="21"/>
              </w:rPr>
              <w:t>001-20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16</w:t>
            </w:r>
            <w:r>
              <w:rPr>
                <w:rFonts w:hint="eastAsia" w:ascii="宋体" w:hAnsi="宋体"/>
                <w:szCs w:val="21"/>
              </w:rPr>
              <w:t>标准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/>
                <w:szCs w:val="21"/>
              </w:rPr>
              <w:t>.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/>
                <w:szCs w:val="21"/>
              </w:rPr>
              <w:t>.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szCs w:val="21"/>
              </w:rPr>
              <w:t>条款</w:t>
            </w:r>
            <w:r>
              <w:rPr>
                <w:rFonts w:hint="eastAsia" w:ascii="宋体" w:hAnsi="宋体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szCs w:val="21"/>
              </w:rPr>
              <w:t>GB/T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45</w:t>
            </w:r>
            <w:r>
              <w:rPr>
                <w:rFonts w:hint="eastAsia" w:ascii="宋体" w:hAnsi="宋体"/>
                <w:szCs w:val="21"/>
              </w:rPr>
              <w:t>001-20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Cs w:val="21"/>
              </w:rPr>
              <w:t>标准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/>
                <w:szCs w:val="21"/>
              </w:rPr>
              <w:t>.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/>
                <w:szCs w:val="21"/>
              </w:rPr>
              <w:t>.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szCs w:val="21"/>
              </w:rPr>
              <w:t>条款“组织应建立、实施并保持程序，以识别和获取适用于本组织的法律法规和其他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环境/</w:t>
            </w:r>
            <w:r>
              <w:rPr>
                <w:rFonts w:hint="eastAsia" w:ascii="宋体" w:hAnsi="宋体"/>
                <w:szCs w:val="21"/>
              </w:rPr>
              <w:t>职业健康安全安全要求……组织应使这方面的信息处于最新状态”。的要求。</w:t>
            </w:r>
          </w:p>
          <w:p>
            <w:pPr>
              <w:ind w:firstLine="240" w:firstLineChars="100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3" w:hRule="atLeast"/>
          <w:jc w:val="center"/>
        </w:trPr>
        <w:tc>
          <w:tcPr>
            <w:tcW w:w="9979" w:type="dxa"/>
            <w:gridSpan w:val="4"/>
            <w:vAlign w:val="center"/>
          </w:tcPr>
          <w:p>
            <w:pPr>
              <w:rPr>
                <w:rFonts w:hint="default" w:asci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参加人员</w:t>
            </w:r>
            <w:r>
              <w:rPr>
                <w:rFonts w:ascii="宋体" w:hAnsi="宋体"/>
                <w:sz w:val="24"/>
              </w:rPr>
              <w:t>:</w:t>
            </w:r>
            <w:r>
              <w:rPr>
                <w:rFonts w:hint="eastAsia" w:ascii="宋体" w:hAnsi="宋体"/>
                <w:sz w:val="24"/>
              </w:rPr>
              <w:t xml:space="preserve">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鲍俊文、包学群。</w:t>
            </w:r>
          </w:p>
          <w:p>
            <w:pPr>
              <w:rPr>
                <w:rFonts w:hint="default" w:asci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/>
                <w:sz w:val="24"/>
              </w:rPr>
              <w:t xml:space="preserve">           </w:t>
            </w:r>
          </w:p>
          <w:p>
            <w:pPr>
              <w:rPr>
                <w:rFonts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  <w:jc w:val="center"/>
        </w:trPr>
        <w:tc>
          <w:tcPr>
            <w:tcW w:w="9979" w:type="dxa"/>
            <w:gridSpan w:val="4"/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</w:rPr>
              <w:t>培训成绩</w:t>
            </w:r>
            <w:r>
              <w:rPr>
                <w:rFonts w:ascii="宋体" w:hAnsi="宋体"/>
                <w:sz w:val="24"/>
              </w:rPr>
              <w:t>:</w:t>
            </w:r>
            <w:r>
              <w:rPr>
                <w:rFonts w:hint="eastAsia" w:ascii="宋体" w:hAnsi="宋体"/>
                <w:sz w:val="24"/>
              </w:rPr>
              <w:t>现场提问、现场整改、未形成考试卷。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8" w:hRule="atLeast"/>
          <w:jc w:val="center"/>
        </w:trPr>
        <w:tc>
          <w:tcPr>
            <w:tcW w:w="9979" w:type="dxa"/>
            <w:gridSpan w:val="4"/>
            <w:vAlign w:val="center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效果评价:</w:t>
            </w:r>
          </w:p>
          <w:p>
            <w:pPr>
              <w:pStyle w:val="3"/>
              <w:ind w:firstLine="482"/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通过此次培训，使相应的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管理人员理解</w:t>
            </w:r>
            <w:r>
              <w:rPr>
                <w:rFonts w:hint="eastAsia" w:ascii="宋体" w:hAnsi="宋体"/>
                <w:sz w:val="24"/>
              </w:rPr>
              <w:t>了标准的知识，特别是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了解1、</w:t>
            </w:r>
            <w:r>
              <w:rPr>
                <w:rFonts w:hint="eastAsia"/>
                <w:lang w:val="en-US" w:eastAsia="zh-CN"/>
              </w:rPr>
              <w:t>GB/T 19001-2016 idt ISO 9001:2015标准8.4.1条款</w:t>
            </w:r>
            <w:r>
              <w:rPr>
                <w:rFonts w:hint="eastAsia"/>
              </w:rPr>
              <w:t>组织应基于外部供方按照要求提供过程、产品或服务的能力，确定外部供方的评价、选择、绩效监视以及再评价的准则，并加以实施。对于这些活动和由评价引发的任何必要的措施，组织应保留形成文件的信息。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</w:p>
          <w:p>
            <w:pPr>
              <w:snapToGrid w:val="0"/>
              <w:spacing w:line="360" w:lineRule="exact"/>
              <w:rPr>
                <w:rFonts w:hint="eastAsia" w:ascii="宋体" w:hAnsi="宋体"/>
                <w:color w:val="auto"/>
                <w:sz w:val="24"/>
                <w:szCs w:val="24"/>
              </w:rPr>
            </w:pPr>
            <w:r>
              <w:rPr>
                <w:rFonts w:hint="eastAsia"/>
                <w:lang w:val="en-US" w:eastAsia="zh-CN"/>
              </w:rPr>
              <w:t xml:space="preserve">    2、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GB/T 19001-2016 idt ISO 9001:2015标准8.5.3条款</w:t>
            </w:r>
            <w:r>
              <w:rPr>
                <w:rFonts w:hint="eastAsia"/>
              </w:rPr>
              <w:t>组织在控制或使用顾客或外部供方的财产期间，应对其进行妥善管理。</w:t>
            </w:r>
          </w:p>
          <w:p>
            <w:pPr>
              <w:ind w:firstLine="480" w:firstLineChars="20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/>
                <w:szCs w:val="21"/>
              </w:rPr>
              <w:t>相关人员对GB/T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24</w:t>
            </w:r>
            <w:r>
              <w:rPr>
                <w:rFonts w:hint="eastAsia" w:ascii="宋体" w:hAnsi="宋体"/>
                <w:szCs w:val="21"/>
              </w:rPr>
              <w:t>001-20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16</w:t>
            </w:r>
            <w:r>
              <w:rPr>
                <w:rFonts w:hint="eastAsia" w:ascii="宋体" w:hAnsi="宋体"/>
                <w:szCs w:val="21"/>
              </w:rPr>
              <w:t>标准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/>
                <w:szCs w:val="21"/>
              </w:rPr>
              <w:t>.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/>
                <w:szCs w:val="21"/>
              </w:rPr>
              <w:t>.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szCs w:val="21"/>
              </w:rPr>
              <w:t>条款</w:t>
            </w:r>
            <w:r>
              <w:rPr>
                <w:rFonts w:hint="eastAsia" w:ascii="宋体" w:hAnsi="宋体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szCs w:val="21"/>
              </w:rPr>
              <w:t>GB/T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45</w:t>
            </w:r>
            <w:r>
              <w:rPr>
                <w:rFonts w:hint="eastAsia" w:ascii="宋体" w:hAnsi="宋体"/>
                <w:szCs w:val="21"/>
              </w:rPr>
              <w:t>001-20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Cs w:val="21"/>
              </w:rPr>
              <w:t>标准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/>
                <w:szCs w:val="21"/>
              </w:rPr>
              <w:t>.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/>
                <w:szCs w:val="21"/>
              </w:rPr>
              <w:t>.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szCs w:val="21"/>
              </w:rPr>
              <w:t>条款“组织应建立、实施并保持程序，以识别和获取适用于本组织的法律法规和其他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环境/</w:t>
            </w:r>
            <w:r>
              <w:rPr>
                <w:rFonts w:hint="eastAsia" w:ascii="宋体" w:hAnsi="宋体"/>
                <w:szCs w:val="21"/>
              </w:rPr>
              <w:t>职业健康安全安全要求……组织应使这方面的信息处于最新状态”。的要求</w:t>
            </w:r>
            <w:r>
              <w:rPr>
                <w:rFonts w:hint="eastAsia" w:ascii="宋体" w:hAnsi="宋体"/>
                <w:sz w:val="24"/>
              </w:rPr>
              <w:t>。”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的知识</w:t>
            </w:r>
            <w:r>
              <w:rPr>
                <w:rFonts w:hint="eastAsia" w:ascii="宋体" w:hAnsi="宋体"/>
                <w:sz w:val="24"/>
                <w:lang w:eastAsia="zh-CN"/>
              </w:rPr>
              <w:t>，</w:t>
            </w:r>
            <w:r>
              <w:rPr>
                <w:rFonts w:hint="eastAsia" w:ascii="宋体" w:hAnsi="宋体"/>
                <w:sz w:val="24"/>
              </w:rPr>
              <w:t>使其了解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管理职责、环境因素识别、最新法律法规识别的重要性</w:t>
            </w:r>
            <w:r>
              <w:rPr>
                <w:rFonts w:hint="eastAsia" w:ascii="宋体" w:hAnsi="宋体"/>
                <w:sz w:val="24"/>
              </w:rPr>
              <w:t>。</w:t>
            </w:r>
          </w:p>
          <w:p>
            <w:pPr>
              <w:ind w:firstLine="2160" w:firstLineChars="90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培训效果良好，有效。      </w:t>
            </w:r>
          </w:p>
          <w:p>
            <w:pPr>
              <w:ind w:firstLine="4800" w:firstLineChars="2000"/>
              <w:rPr>
                <w:rFonts w:hint="default" w:ascii="宋体" w:hAnsi="宋体"/>
                <w:sz w:val="24"/>
                <w:lang w:val="en-US"/>
              </w:rPr>
            </w:pPr>
            <w:r>
              <w:rPr>
                <w:rFonts w:hint="eastAsia" w:ascii="宋体" w:hAnsi="宋体"/>
                <w:sz w:val="24"/>
              </w:rPr>
              <w:t xml:space="preserve">评价人: 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林阳春</w:t>
            </w:r>
            <w:r>
              <w:rPr>
                <w:rFonts w:hint="eastAsia" w:ascii="宋体" w:hAnsi="宋体"/>
                <w:sz w:val="24"/>
              </w:rPr>
              <w:t xml:space="preserve">    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 w:val="24"/>
              </w:rPr>
              <w:t xml:space="preserve">日期: 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2020.11.1</w:t>
            </w:r>
          </w:p>
        </w:tc>
      </w:tr>
    </w:tbl>
    <w:p>
      <w:pPr>
        <w:widowControl/>
        <w:jc w:val="both"/>
        <w:rPr>
          <w:rFonts w:eastAsia="黑体"/>
          <w:sz w:val="32"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0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0"/>
        <w:rFonts w:hint="default"/>
      </w:rPr>
      <w:t>北京国标联合认证有限公司</w:t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</w:p>
  <w:p>
    <w:pPr>
      <w:pStyle w:val="5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4097" o:spid="_x0000_s4097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不符合报告纠正措施表(03版)</w:t>
                </w:r>
              </w:p>
            </w:txbxContent>
          </v:textbox>
        </v:shape>
      </w:pict>
    </w:r>
    <w:r>
      <w:rPr>
        <w:rStyle w:val="10"/>
        <w:rFonts w:hint="default"/>
        <w:w w:val="90"/>
        <w:sz w:val="18"/>
      </w:rPr>
      <w:t>Beijing International Standard united Certification Co.,Ltd.</w:t>
    </w:r>
  </w:p>
  <w:p>
    <w:r>
      <w:pict>
        <v:shape id="_x0000_s4098" o:spid="_x0000_s4098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5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  <o:rules v:ext="edit">
        <o:r id="V:Rule1" type="connector" idref="#_x0000_s4098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46130A0"/>
    <w:rsid w:val="65E6554F"/>
    <w:rsid w:val="7ABC71F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3">
    <w:name w:val="Normal Indent"/>
    <w:basedOn w:val="1"/>
    <w:unhideWhenUsed/>
    <w:qFormat/>
    <w:uiPriority w:val="99"/>
    <w:pPr>
      <w:ind w:firstLine="420" w:firstLineChars="200"/>
    </w:pPr>
    <w:rPr>
      <w:szCs w:val="24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字符"/>
    <w:basedOn w:val="7"/>
    <w:link w:val="4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109</Words>
  <Characters>622</Characters>
  <Lines>5</Lines>
  <Paragraphs>1</Paragraphs>
  <TotalTime>1</TotalTime>
  <ScaleCrop>false</ScaleCrop>
  <LinksUpToDate>false</LinksUpToDate>
  <CharactersWithSpaces>730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开门大吉～ISO认证服务</cp:lastModifiedBy>
  <cp:lastPrinted>2019-05-13T03:02:00Z</cp:lastPrinted>
  <dcterms:modified xsi:type="dcterms:W3CDTF">2020-11-02T00:50:24Z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