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十堰市百懋科技发展有限公司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pStyle w:val="5"/>
        <w:rPr>
          <w:rFonts w:eastAsia="楷体_GB2312"/>
          <w:sz w:val="32"/>
        </w:rPr>
      </w:pPr>
    </w:p>
    <w:p>
      <w:pPr>
        <w:pStyle w:val="5"/>
        <w:rPr>
          <w:rFonts w:eastAsia="楷体_GB2312"/>
          <w:sz w:val="32"/>
        </w:rPr>
      </w:pPr>
    </w:p>
    <w:p>
      <w:pPr>
        <w:pStyle w:val="5"/>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李京田</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2020-N1EMS-3014142</w:t>
            </w:r>
          </w:p>
          <w:p>
            <w:pPr>
              <w:jc w:val="center"/>
              <w:rPr>
                <w:b/>
                <w:sz w:val="21"/>
                <w:szCs w:val="21"/>
              </w:rPr>
            </w:pPr>
            <w:r>
              <w:rPr>
                <w:b/>
                <w:sz w:val="21"/>
                <w:szCs w:val="21"/>
              </w:rPr>
              <w:t>2020-N1OHSMS-3014142</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陈俊</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E:专家</w:t>
            </w:r>
          </w:p>
          <w:p>
            <w:pPr>
              <w:jc w:val="center"/>
              <w:rPr>
                <w:b/>
                <w:sz w:val="21"/>
                <w:szCs w:val="21"/>
              </w:rPr>
            </w:pPr>
            <w:r>
              <w:rPr>
                <w:b/>
                <w:sz w:val="21"/>
                <w:szCs w:val="21"/>
              </w:rPr>
              <w:t>O:专家</w:t>
            </w:r>
          </w:p>
          <w:p>
            <w:pPr>
              <w:jc w:val="center"/>
              <w:rPr>
                <w:b/>
                <w:sz w:val="21"/>
                <w:szCs w:val="21"/>
              </w:rPr>
            </w:pPr>
          </w:p>
        </w:tc>
        <w:tc>
          <w:tcPr>
            <w:tcW w:w="1699" w:type="dxa"/>
            <w:vAlign w:val="center"/>
          </w:tcPr>
          <w:p>
            <w:pPr>
              <w:jc w:val="center"/>
              <w:rPr>
                <w:b/>
                <w:sz w:val="21"/>
                <w:szCs w:val="21"/>
              </w:rPr>
            </w:pPr>
            <w:r>
              <w:rPr>
                <w:b/>
                <w:sz w:val="21"/>
                <w:szCs w:val="21"/>
              </w:rPr>
              <w:t>ISC-JSZJ-177</w:t>
            </w:r>
          </w:p>
          <w:p>
            <w:pPr>
              <w:jc w:val="center"/>
              <w:rPr>
                <w:b/>
                <w:sz w:val="21"/>
                <w:szCs w:val="21"/>
              </w:rPr>
            </w:pPr>
            <w:r>
              <w:rPr>
                <w:b/>
                <w:sz w:val="21"/>
                <w:szCs w:val="21"/>
              </w:rPr>
              <w:t>ISC-JSZJ-177</w:t>
            </w:r>
          </w:p>
          <w:p>
            <w:pPr>
              <w:jc w:val="center"/>
              <w:rPr>
                <w:b/>
                <w:sz w:val="21"/>
                <w:szCs w:val="21"/>
              </w:rPr>
            </w:pPr>
            <w:r>
              <w:rPr>
                <w:b/>
                <w:sz w:val="21"/>
                <w:szCs w:val="21"/>
              </w:rPr>
              <w:t>十堰龙智汇工贸有限公司</w:t>
            </w:r>
          </w:p>
        </w:tc>
        <w:tc>
          <w:tcPr>
            <w:tcW w:w="1728" w:type="dxa"/>
            <w:gridSpan w:val="2"/>
            <w:vAlign w:val="center"/>
          </w:tcPr>
          <w:p>
            <w:pPr>
              <w:jc w:val="center"/>
              <w:rPr>
                <w:b/>
                <w:sz w:val="21"/>
                <w:szCs w:val="21"/>
              </w:rPr>
            </w:pPr>
            <w:r>
              <w:rPr>
                <w:b/>
                <w:sz w:val="21"/>
                <w:szCs w:val="21"/>
              </w:rPr>
              <w:t>E:22.03.02</w:t>
            </w:r>
          </w:p>
          <w:p>
            <w:pPr>
              <w:jc w:val="center"/>
              <w:rPr>
                <w:b/>
                <w:sz w:val="21"/>
                <w:szCs w:val="21"/>
              </w:rPr>
            </w:pPr>
            <w:r>
              <w:rPr>
                <w:b/>
                <w:sz w:val="21"/>
                <w:szCs w:val="21"/>
              </w:rPr>
              <w:t>O:22.03.02</w:t>
            </w:r>
          </w:p>
        </w:tc>
        <w:tc>
          <w:tcPr>
            <w:tcW w:w="1729" w:type="dxa"/>
            <w:gridSpan w:val="2"/>
            <w:vAlign w:val="center"/>
          </w:tcPr>
          <w:p>
            <w:pPr>
              <w:jc w:val="center"/>
              <w:rPr>
                <w:b/>
                <w:sz w:val="21"/>
                <w:szCs w:val="21"/>
              </w:rPr>
            </w:pPr>
            <w:r>
              <w:rPr>
                <w:b/>
                <w:sz w:val="21"/>
                <w:szCs w:val="21"/>
              </w:rPr>
              <w:t>ISC-JSZJ-177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1277" w:type="dxa"/>
            <w:vAlign w:val="center"/>
          </w:tcPr>
          <w:p>
            <w:pPr>
              <w:jc w:val="center"/>
              <w:rPr>
                <w:b/>
                <w:sz w:val="21"/>
                <w:szCs w:val="21"/>
              </w:rPr>
            </w:pPr>
          </w:p>
        </w:tc>
        <w:tc>
          <w:tcPr>
            <w:tcW w:w="1699" w:type="dxa"/>
            <w:vAlign w:val="center"/>
          </w:tcPr>
          <w:p>
            <w:pPr>
              <w:jc w:val="center"/>
              <w:rPr>
                <w:b/>
                <w:sz w:val="21"/>
                <w:szCs w:val="21"/>
              </w:rPr>
            </w:pP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vAlign w:val="top"/>
          </w:tcPr>
          <w:p>
            <w:pPr>
              <w:spacing w:line="260" w:lineRule="exact"/>
              <w:rPr>
                <w:rFonts w:ascii="宋体"/>
                <w:b/>
                <w:color w:val="FF0000"/>
                <w:sz w:val="21"/>
              </w:rPr>
            </w:pPr>
            <w:r>
              <w:rPr>
                <w:rFonts w:ascii="宋体"/>
                <w:b/>
                <w:color w:val="FF0000"/>
                <w:sz w:val="21"/>
              </w:rPr>
              <w:t>十堰市百懋科技发展有限公司</w:t>
            </w:r>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vAlign w:val="top"/>
          </w:tcPr>
          <w:p>
            <w:pPr>
              <w:spacing w:line="260" w:lineRule="exact"/>
              <w:rPr>
                <w:rFonts w:hint="default" w:ascii="宋体" w:eastAsia="宋体"/>
                <w:b/>
                <w:sz w:val="21"/>
                <w:lang w:val="en-US" w:eastAsia="zh-CN"/>
              </w:rPr>
            </w:pPr>
            <w:r>
              <w:rPr>
                <w:rFonts w:hint="eastAsia" w:ascii="宋体"/>
                <w:b/>
                <w:sz w:val="21"/>
                <w:lang w:val="en-US" w:eastAsia="zh-CN"/>
              </w:rPr>
              <w:t>核实人数25人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vAlign w:val="top"/>
          </w:tcPr>
          <w:p>
            <w:pPr>
              <w:rPr>
                <w:rFonts w:ascii="宋体"/>
                <w:b/>
                <w:sz w:val="21"/>
              </w:rPr>
            </w:pPr>
            <w:r>
              <w:rPr>
                <w:rFonts w:ascii="宋体"/>
                <w:b/>
                <w:sz w:val="21"/>
              </w:rPr>
              <w:t>十堰市普林南路18号</w:t>
            </w:r>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vAlign w:val="top"/>
          </w:tcPr>
          <w:p>
            <w:pPr>
              <w:rPr>
                <w:rFonts w:ascii="宋体"/>
                <w:b/>
                <w:sz w:val="21"/>
              </w:rPr>
            </w:pPr>
            <w:r>
              <w:rPr>
                <w:rFonts w:ascii="宋体"/>
                <w:b/>
                <w:sz w:val="21"/>
              </w:rPr>
              <w:t>442100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vAlign w:val="top"/>
          </w:tcPr>
          <w:p>
            <w:pPr>
              <w:rPr>
                <w:rFonts w:ascii="宋体"/>
                <w:b/>
                <w:sz w:val="21"/>
              </w:rPr>
            </w:pPr>
            <w:r>
              <w:rPr>
                <w:rFonts w:ascii="宋体"/>
                <w:b/>
                <w:sz w:val="21"/>
              </w:rPr>
              <w:t>十堰市普林南路18号</w:t>
            </w:r>
          </w:p>
        </w:tc>
        <w:tc>
          <w:tcPr>
            <w:tcW w:w="1672" w:type="dxa"/>
            <w:vMerge w:val="continue"/>
            <w:vAlign w:val="center"/>
          </w:tcPr>
          <w:p>
            <w:pPr>
              <w:jc w:val="center"/>
              <w:rPr>
                <w:rFonts w:ascii="宋体"/>
                <w:b/>
                <w:sz w:val="21"/>
              </w:rPr>
            </w:pPr>
          </w:p>
        </w:tc>
        <w:tc>
          <w:tcPr>
            <w:tcW w:w="1500" w:type="dxa"/>
            <w:vAlign w:val="top"/>
          </w:tcPr>
          <w:p>
            <w:pPr>
              <w:rPr>
                <w:rFonts w:ascii="宋体"/>
                <w:b/>
                <w:sz w:val="21"/>
              </w:rPr>
            </w:pPr>
            <w:r>
              <w:rPr>
                <w:rFonts w:ascii="宋体"/>
                <w:b/>
                <w:sz w:val="21"/>
              </w:rPr>
              <w:t>442100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r>
              <w:rPr>
                <w:rFonts w:ascii="宋体"/>
                <w:b/>
                <w:sz w:val="21"/>
              </w:rPr>
              <w:t>十堰市普林南路18号</w:t>
            </w:r>
          </w:p>
        </w:tc>
        <w:tc>
          <w:tcPr>
            <w:tcW w:w="1672" w:type="dxa"/>
            <w:vMerge w:val="continue"/>
            <w:vAlign w:val="center"/>
          </w:tcPr>
          <w:p>
            <w:pPr>
              <w:jc w:val="center"/>
              <w:rPr>
                <w:rFonts w:ascii="宋体"/>
                <w:b/>
                <w:sz w:val="21"/>
              </w:rPr>
            </w:pPr>
          </w:p>
        </w:tc>
        <w:tc>
          <w:tcPr>
            <w:tcW w:w="1500" w:type="dxa"/>
          </w:tcPr>
          <w:p>
            <w:pPr>
              <w:rPr>
                <w:rFonts w:ascii="宋体"/>
                <w:b/>
                <w:sz w:val="21"/>
              </w:rPr>
            </w:pPr>
            <w:r>
              <w:rPr>
                <w:rFonts w:ascii="宋体"/>
                <w:b/>
                <w:sz w:val="21"/>
              </w:rPr>
              <w:t>442100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vAlign w:val="top"/>
          </w:tcPr>
          <w:p>
            <w:pPr>
              <w:rPr>
                <w:rFonts w:ascii="宋体"/>
                <w:b/>
                <w:sz w:val="21"/>
              </w:rPr>
            </w:pPr>
            <w:r>
              <w:rPr>
                <w:rFonts w:ascii="宋体"/>
                <w:b/>
                <w:sz w:val="21"/>
              </w:rPr>
              <w:t>韩瑜</w:t>
            </w:r>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r>
              <w:rPr>
                <w:rFonts w:ascii="宋体"/>
                <w:b/>
                <w:sz w:val="21"/>
              </w:rPr>
              <w:t>13872838738</w:t>
            </w:r>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vAlign w:val="top"/>
          </w:tcPr>
          <w:p>
            <w:pPr>
              <w:rPr>
                <w:rFonts w:ascii="宋体" w:hAnsi="宋体"/>
                <w:b/>
                <w:sz w:val="21"/>
                <w:szCs w:val="21"/>
              </w:rPr>
            </w:pPr>
            <w:r>
              <w:rPr>
                <w:rFonts w:ascii="宋体" w:hAnsi="宋体"/>
                <w:b/>
                <w:sz w:val="21"/>
                <w:szCs w:val="21"/>
              </w:rPr>
              <w:t>何绍勇</w:t>
            </w:r>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vAlign w:val="top"/>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vAlign w:val="top"/>
          </w:tcPr>
          <w:p>
            <w:pPr>
              <w:rPr>
                <w:rFonts w:ascii="宋体"/>
                <w:b/>
                <w:sz w:val="21"/>
              </w:rPr>
            </w:pPr>
            <w:r>
              <w:rPr>
                <w:rFonts w:ascii="宋体"/>
                <w:b/>
                <w:sz w:val="21"/>
              </w:rPr>
              <w:t>杨瑞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11" w:name="审核日期"/>
            <w:r>
              <w:rPr>
                <w:rFonts w:ascii="宋体" w:hAnsi="宋体"/>
                <w:b/>
                <w:sz w:val="21"/>
                <w:szCs w:val="21"/>
              </w:rPr>
              <w:t>2020年12月01日 上午至2020年12月02日 上午</w:t>
            </w:r>
            <w:bookmarkEnd w:id="11"/>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0" w:lineRule="atLeast"/>
              <w:jc w:val="left"/>
              <w:rPr>
                <w:rFonts w:hint="eastAsia" w:ascii="宋体" w:hAnsi="宋体"/>
              </w:rPr>
            </w:pPr>
            <w:bookmarkStart w:id="12" w:name="审核范围"/>
            <w:r>
              <w:rPr>
                <w:rFonts w:hint="eastAsia" w:ascii="宋体" w:hAnsi="宋体"/>
              </w:rPr>
              <w:t>E：车用传感器及车门玻璃升降器的组装加工及相关环境管理活动</w:t>
            </w:r>
          </w:p>
          <w:p>
            <w:pPr>
              <w:spacing w:line="360" w:lineRule="exact"/>
              <w:rPr>
                <w:rFonts w:ascii="宋体" w:hAnsi="宋体"/>
                <w:b/>
                <w:sz w:val="21"/>
                <w:szCs w:val="21"/>
              </w:rPr>
            </w:pPr>
            <w:r>
              <w:rPr>
                <w:rFonts w:hint="eastAsia" w:ascii="宋体" w:hAnsi="宋体"/>
              </w:rPr>
              <w:t>O：车用传感器及车门玻璃升降器的组装加工及相关职业健康安全管理活动</w:t>
            </w:r>
            <w:bookmarkEnd w:id="12"/>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rPr>
                <w:b/>
                <w:szCs w:val="21"/>
              </w:rPr>
            </w:pPr>
            <w:bookmarkStart w:id="13" w:name="专业代码"/>
            <w:r>
              <w:rPr>
                <w:b/>
                <w:szCs w:val="21"/>
              </w:rPr>
              <w:t>E：22.03.02</w:t>
            </w:r>
          </w:p>
          <w:p>
            <w:pPr>
              <w:spacing w:line="260" w:lineRule="exact"/>
              <w:rPr>
                <w:rFonts w:ascii="宋体" w:hAnsi="宋体"/>
                <w:b/>
                <w:sz w:val="21"/>
                <w:szCs w:val="21"/>
              </w:rPr>
            </w:pPr>
            <w:r>
              <w:rPr>
                <w:b/>
                <w:szCs w:val="21"/>
              </w:rPr>
              <w:t>O：22.03.02</w:t>
            </w:r>
            <w:bookmarkEnd w:id="13"/>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eastAsia" w:ascii="宋体" w:hAnsi="宋体"/>
                <w:b/>
                <w:sz w:val="21"/>
                <w:szCs w:val="21"/>
                <w:lang w:val="en-US" w:eastAsia="zh-CN"/>
              </w:rPr>
            </w:pPr>
          </w:p>
          <w:p>
            <w:pPr>
              <w:spacing w:line="260" w:lineRule="exact"/>
              <w:rPr>
                <w:rFonts w:hint="eastAsia" w:ascii="宋体" w:hAnsi="宋体"/>
                <w:b/>
                <w:sz w:val="21"/>
                <w:szCs w:val="21"/>
                <w:lang w:val="en-US" w:eastAsia="zh-CN"/>
              </w:rPr>
            </w:pPr>
          </w:p>
          <w:p>
            <w:pPr>
              <w:spacing w:line="260" w:lineRule="exact"/>
              <w:rPr>
                <w:rFonts w:hint="eastAsia" w:ascii="宋体" w:hAnsi="宋体"/>
                <w:b/>
                <w:sz w:val="21"/>
                <w:szCs w:val="21"/>
                <w:lang w:val="en-US" w:eastAsia="zh-CN"/>
              </w:rPr>
            </w:pPr>
          </w:p>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2022-7-31</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rPr>
                <w:rFonts w:hint="eastAsia" w:eastAsia="宋体"/>
                <w:b/>
                <w:szCs w:val="21"/>
                <w:lang w:val="en-US" w:eastAsia="zh-CN"/>
              </w:rPr>
            </w:pPr>
          </w:p>
          <w:p>
            <w:pPr>
              <w:rPr>
                <w:rFonts w:ascii="宋体"/>
                <w:b/>
                <w:sz w:val="21"/>
              </w:rPr>
            </w:pPr>
            <w:r>
              <w:rPr>
                <w:rFonts w:eastAsia="宋体"/>
                <w:b/>
                <w:szCs w:val="21"/>
              </w:rPr>
              <w:t>2019-07-21 -- 2019-07-24</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7</w:t>
      </w:r>
      <w:r>
        <w:rPr>
          <w:rFonts w:hint="eastAsia" w:ascii="宋体" w:hAnsi="宋体"/>
          <w:b/>
          <w:sz w:val="21"/>
          <w:szCs w:val="21"/>
        </w:rPr>
        <w:t>月</w:t>
      </w:r>
      <w:r>
        <w:rPr>
          <w:rFonts w:hint="eastAsia" w:ascii="宋体" w:hAnsi="宋体"/>
          <w:b/>
          <w:sz w:val="21"/>
          <w:szCs w:val="21"/>
          <w:lang w:val="en-US" w:eastAsia="zh-CN"/>
        </w:rPr>
        <w:t>24</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12</w:t>
      </w:r>
      <w:r>
        <w:rPr>
          <w:rFonts w:hint="eastAsia" w:ascii="宋体" w:hAnsi="宋体"/>
          <w:b/>
          <w:sz w:val="21"/>
          <w:szCs w:val="21"/>
        </w:rPr>
        <w:t>月</w:t>
      </w:r>
      <w:r>
        <w:rPr>
          <w:rFonts w:hint="eastAsia" w:ascii="宋体" w:hAnsi="宋体"/>
          <w:b/>
          <w:sz w:val="21"/>
          <w:szCs w:val="21"/>
          <w:lang w:val="en-US" w:eastAsia="zh-CN"/>
        </w:rPr>
        <w:t>2</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pStyle w:val="2"/>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pStyle w:val="2"/>
              <w:rPr>
                <w:rFonts w:hint="eastAsia" w:ascii="Times New Roman" w:hAnsi="Times New Roman" w:eastAsia="宋体" w:cs="Times New Roman"/>
                <w:bCs w:val="0"/>
                <w:color w:val="000000" w:themeColor="text1"/>
                <w:spacing w:val="0"/>
                <w:kern w:val="2"/>
                <w:sz w:val="21"/>
                <w:szCs w:val="21"/>
                <w:lang w:val="en-US" w:eastAsia="zh-CN" w:bidi="ar-SA"/>
              </w:rPr>
            </w:pPr>
            <w:r>
              <w:rPr>
                <w:rFonts w:hint="eastAsia" w:ascii="Times New Roman" w:hAnsi="Times New Roman" w:eastAsia="宋体" w:cs="Times New Roman"/>
                <w:bCs w:val="0"/>
                <w:color w:val="000000" w:themeColor="text1"/>
                <w:spacing w:val="0"/>
                <w:kern w:val="2"/>
                <w:sz w:val="21"/>
                <w:szCs w:val="21"/>
                <w:lang w:val="en-US" w:eastAsia="zh-CN" w:bidi="ar-SA"/>
              </w:rPr>
              <w:t>十堰市百懋科技发展有限公司,2009年03月10日成立，经营范围包括汽车零部件加工、销售；汽车电器、随车工具生产、销售。公司的主要客户群为全国各地的铁路施工单位，国企、央企；公司采用总经理负责制，层层把关，让用户真正放心</w:t>
            </w:r>
          </w:p>
          <w:p>
            <w:pPr>
              <w:rPr>
                <w:rFonts w:hint="eastAsia" w:ascii="Times New Roman" w:hAnsi="Times New Roman" w:eastAsia="宋体" w:cs="Times New Roman"/>
                <w:bCs w:val="0"/>
                <w:color w:val="000000" w:themeColor="text1"/>
                <w:spacing w:val="0"/>
                <w:kern w:val="2"/>
                <w:sz w:val="21"/>
                <w:szCs w:val="21"/>
                <w:lang w:val="en-US" w:eastAsia="zh-CN" w:bidi="ar-SA"/>
              </w:rPr>
            </w:pPr>
            <w:r>
              <w:rPr>
                <w:rFonts w:hint="eastAsia" w:ascii="Times New Roman" w:hAnsi="Times New Roman" w:eastAsia="宋体" w:cs="Times New Roman"/>
                <w:bCs w:val="0"/>
                <w:color w:val="000000" w:themeColor="text1"/>
                <w:spacing w:val="0"/>
                <w:kern w:val="2"/>
                <w:sz w:val="21"/>
                <w:szCs w:val="21"/>
                <w:lang w:val="en-US" w:eastAsia="zh-CN" w:bidi="ar-SA"/>
              </w:rPr>
              <w:t>周边环境：气候、空气和水质量、土地使用、现存污染、资源的可获得性等相关因素公司推行质量、环境、职业健康安全管理体系的目的就是不断提高公司管理水平和市场准入。总经理确定与本公司管理目标和战略方向相关并影响实现管理体系预期结果的各种内部因素（公司的价值观、文化、知识、绩效等相关因素）及公司发展愿景和外部因素（国际、国家、地区和当地的各种法律法规、技术、竞争、文化和社会因素等）。这些因素包括了需要考虑的正面和负面因素或条件。</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rPr>
                <w:rFonts w:hint="eastAsia" w:ascii="宋体" w:hAnsi="宋体"/>
                <w:b/>
                <w:sz w:val="21"/>
                <w:szCs w:val="21"/>
              </w:rPr>
            </w:pPr>
            <w:r>
              <w:rPr>
                <w:rFonts w:hint="eastAsia" w:ascii="宋体" w:hAnsi="宋体"/>
                <w:b/>
                <w:sz w:val="21"/>
                <w:szCs w:val="21"/>
              </w:rPr>
              <w:t>相关方需求和期望识别情况</w:t>
            </w:r>
          </w:p>
          <w:p>
            <w:pPr>
              <w:numPr>
                <w:ilvl w:val="0"/>
                <w:numId w:val="0"/>
              </w:numPr>
              <w:rPr>
                <w:rFonts w:hint="eastAsia"/>
              </w:rPr>
            </w:pPr>
            <w:r>
              <w:rPr>
                <w:rFonts w:hint="eastAsia"/>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pPr>
              <w:numPr>
                <w:ilvl w:val="0"/>
                <w:numId w:val="0"/>
              </w:numPr>
              <w:spacing w:line="240" w:lineRule="exact"/>
              <w:rPr>
                <w:rFonts w:hint="eastAsia"/>
              </w:rPr>
            </w:pPr>
            <w:r>
              <w:rPr>
                <w:rFonts w:hint="eastAsia"/>
              </w:rPr>
              <w:t>内外部环境要素识别与评估：在每年的管理评审前，由相关部门负责人进行识别并评估其适宜性。以便于持续满足相关方的需求和期望。</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tabs>
                <w:tab w:val="left" w:pos="720"/>
                <w:tab w:val="clear" w:pos="312"/>
              </w:tabs>
              <w:spacing w:line="480" w:lineRule="exact"/>
              <w:rPr>
                <w:rFonts w:hint="eastAsia"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rPr>
                <w:rFonts w:hint="eastAsia"/>
              </w:rPr>
            </w:pPr>
            <w:r>
              <w:rPr>
                <w:rFonts w:hint="eastAsia"/>
              </w:rPr>
              <w:t xml:space="preserve">环境方针  </w:t>
            </w:r>
            <w:r>
              <w:rPr>
                <w:rFonts w:hint="eastAsia"/>
                <w:b/>
                <w:bCs/>
              </w:rPr>
              <w:t>节能减排  防止污染 保护环境</w:t>
            </w:r>
          </w:p>
          <w:p>
            <w:pPr>
              <w:rPr>
                <w:rFonts w:hint="eastAsia"/>
                <w:b/>
                <w:bCs/>
              </w:rPr>
            </w:pPr>
            <w:r>
              <w:rPr>
                <w:rFonts w:hint="eastAsia"/>
              </w:rPr>
              <w:t xml:space="preserve">职业健康安全方针  </w:t>
            </w:r>
            <w:r>
              <w:rPr>
                <w:rFonts w:hint="eastAsia"/>
                <w:b/>
                <w:bCs/>
              </w:rPr>
              <w:t>安全至上 全员参与 持续改进</w:t>
            </w:r>
          </w:p>
          <w:p>
            <w:pPr>
              <w:pStyle w:val="2"/>
            </w:pPr>
            <w:r>
              <w:rPr>
                <w:rFonts w:hint="eastAsia"/>
                <w:color w:val="000000"/>
              </w:rPr>
              <w:t>通过管理手册的分发使全体员工理解方针，通过内审和管理评审保持方针的适宜性。</w:t>
            </w:r>
          </w:p>
          <w:p>
            <w:pPr>
              <w:spacing w:line="28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0"/>
              </w:numPr>
              <w:ind w:leftChars="0"/>
              <w:rPr>
                <w:rFonts w:hint="eastAsia" w:ascii="宋体" w:hAnsi="宋体"/>
                <w:b/>
                <w:sz w:val="21"/>
                <w:szCs w:val="21"/>
              </w:rPr>
            </w:pPr>
            <w:r>
              <w:rPr>
                <w:rFonts w:hint="eastAsia" w:ascii="宋体" w:hAnsi="宋体"/>
                <w:b/>
                <w:sz w:val="21"/>
                <w:szCs w:val="21"/>
                <w:lang w:val="en-US" w:eastAsia="zh-CN"/>
              </w:rPr>
              <w:t>4、</w:t>
            </w:r>
            <w:r>
              <w:rPr>
                <w:rFonts w:hint="eastAsia" w:ascii="宋体" w:hAnsi="宋体"/>
                <w:b/>
                <w:sz w:val="21"/>
                <w:szCs w:val="21"/>
              </w:rPr>
              <w:t>风险识别与控制策划</w:t>
            </w:r>
          </w:p>
          <w:p>
            <w:pPr>
              <w:numPr>
                <w:ilvl w:val="0"/>
                <w:numId w:val="0"/>
              </w:numPr>
              <w:ind w:leftChars="0"/>
            </w:pPr>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rPr>
                <w:rFonts w:hint="eastAsia"/>
              </w:rPr>
            </w:pPr>
            <w:r>
              <w:rPr>
                <w:rFonts w:hint="eastAsia"/>
              </w:rPr>
              <w:t>提供了“20</w:t>
            </w:r>
            <w:r>
              <w:rPr>
                <w:rFonts w:hint="eastAsia"/>
                <w:lang w:val="en-US" w:eastAsia="zh-CN"/>
              </w:rPr>
              <w:t>20</w:t>
            </w:r>
            <w:r>
              <w:rPr>
                <w:rFonts w:hint="eastAsia"/>
              </w:rPr>
              <w:t>年度 SWOT经营环境分析及对策报告”，对影响公司经营和发展的各种因素（内外部环境、相关方要求等）进行分析，确定需要应对的风险和机遇</w:t>
            </w:r>
          </w:p>
          <w:p>
            <w:pPr>
              <w:spacing w:line="28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删减条款是，删减理由：</w:t>
            </w:r>
          </w:p>
          <w:p>
            <w:pPr>
              <w:tabs>
                <w:tab w:val="left" w:pos="540"/>
              </w:tabs>
              <w:spacing w:line="300" w:lineRule="exact"/>
              <w:ind w:left="211" w:hanging="211" w:hangingChars="100"/>
              <w:rPr>
                <w:rFonts w:ascii="宋体" w:hAnsi="宋体"/>
                <w:b/>
                <w:sz w:val="21"/>
                <w:szCs w:val="21"/>
              </w:rPr>
            </w:pP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20" w:firstLineChars="200"/>
              <w:rPr>
                <w:rFonts w:hint="eastAsia"/>
                <w:sz w:val="21"/>
                <w:szCs w:val="21"/>
              </w:rPr>
            </w:pPr>
            <w:r>
              <w:rPr>
                <w:rFonts w:hint="eastAsia"/>
                <w:sz w:val="21"/>
                <w:szCs w:val="21"/>
              </w:rPr>
              <w:t>编制了</w:t>
            </w:r>
            <w:r>
              <w:rPr>
                <w:sz w:val="21"/>
                <w:szCs w:val="21"/>
              </w:rPr>
              <w:t>《环境因素的识别与评价控制程序》</w:t>
            </w:r>
            <w:r>
              <w:rPr>
                <w:rFonts w:hint="eastAsia"/>
                <w:sz w:val="21"/>
                <w:szCs w:val="21"/>
              </w:rPr>
              <w:t>符合标准要求.</w:t>
            </w:r>
          </w:p>
          <w:p>
            <w:pPr>
              <w:rPr>
                <w:rFonts w:ascii="宋体" w:hAnsi="宋体" w:cs="宋体"/>
                <w:kern w:val="0"/>
                <w:szCs w:val="21"/>
              </w:rPr>
            </w:pPr>
            <w:r>
              <w:rPr>
                <w:rFonts w:hint="eastAsia"/>
                <w:sz w:val="21"/>
                <w:szCs w:val="21"/>
              </w:rPr>
              <w:t>提供的“环境因素识别评价表”“重要环境因素清单”， 评价考虑了三种时态现在、过去、将来、三种状态、异常、正常、紧急考虑了法律法规，并进行了评价</w:t>
            </w:r>
          </w:p>
          <w:p>
            <w:pPr>
              <w:ind w:firstLine="420" w:firstLineChars="200"/>
              <w:rPr>
                <w:sz w:val="21"/>
                <w:szCs w:val="21"/>
              </w:rPr>
            </w:pPr>
            <w:r>
              <w:rPr>
                <w:rFonts w:hint="eastAsia"/>
                <w:sz w:val="21"/>
                <w:szCs w:val="21"/>
                <w:lang w:eastAsia="zh-CN"/>
              </w:rPr>
              <w:t>根据企业的生产</w:t>
            </w:r>
            <w:r>
              <w:rPr>
                <w:rFonts w:hint="eastAsia"/>
                <w:sz w:val="21"/>
                <w:szCs w:val="21"/>
              </w:rPr>
              <w:t>服务过程，用打分法考虑了法规符合性、发生频次、影响范围等, 通过定性判断法，共识别出重大环境因素</w:t>
            </w:r>
            <w:r>
              <w:rPr>
                <w:rFonts w:hint="eastAsia"/>
                <w:sz w:val="21"/>
                <w:szCs w:val="21"/>
                <w:lang w:val="en-US" w:eastAsia="zh-CN"/>
              </w:rPr>
              <w:t>4</w:t>
            </w:r>
            <w:r>
              <w:rPr>
                <w:rFonts w:hint="eastAsia"/>
                <w:sz w:val="21"/>
                <w:szCs w:val="21"/>
              </w:rPr>
              <w:t>项：固废排放、火灾</w:t>
            </w:r>
            <w:r>
              <w:rPr>
                <w:rFonts w:hint="eastAsia"/>
                <w:sz w:val="21"/>
                <w:szCs w:val="21"/>
                <w:lang w:eastAsia="zh-CN"/>
              </w:rPr>
              <w:t>、噪声、废气</w:t>
            </w:r>
            <w:r>
              <w:rPr>
                <w:rFonts w:hint="eastAsia"/>
                <w:sz w:val="21"/>
                <w:szCs w:val="21"/>
              </w:rPr>
              <w:t>，评价符合程序要求及公司的实际情况。</w:t>
            </w:r>
          </w:p>
          <w:p>
            <w:pPr>
              <w:spacing w:line="300" w:lineRule="exact"/>
              <w:rPr>
                <w:rFonts w:ascii="宋体" w:hAnsi="宋体"/>
                <w:b/>
                <w:sz w:val="21"/>
                <w:szCs w:val="21"/>
              </w:rPr>
            </w:pPr>
            <w:r>
              <w:rPr>
                <w:rFonts w:hint="eastAsia"/>
                <w:sz w:val="21"/>
                <w:szCs w:val="21"/>
              </w:rPr>
              <w:t>对重要环境因素的控制措施包括制定管理制度、监督检查、应急预案、培训等。提供《重要环境因素识别清单》，其中</w:t>
            </w:r>
            <w:r>
              <w:rPr>
                <w:rFonts w:hint="eastAsia"/>
                <w:sz w:val="21"/>
                <w:szCs w:val="21"/>
                <w:lang w:eastAsia="zh-CN"/>
              </w:rPr>
              <w:t>生产</w:t>
            </w:r>
            <w:r>
              <w:rPr>
                <w:rFonts w:hint="eastAsia"/>
                <w:sz w:val="21"/>
                <w:szCs w:val="21"/>
              </w:rPr>
              <w:t>涉及的重要环境因素：固废排放、火灾</w:t>
            </w:r>
            <w:r>
              <w:rPr>
                <w:rFonts w:hint="eastAsia"/>
                <w:sz w:val="21"/>
                <w:szCs w:val="21"/>
                <w:lang w:eastAsia="zh-CN"/>
              </w:rPr>
              <w:t>、噪声、废气</w:t>
            </w:r>
            <w:r>
              <w:rPr>
                <w:rFonts w:hint="eastAsia"/>
                <w:sz w:val="21"/>
                <w:szCs w:val="21"/>
              </w:rPr>
              <w:t>，评价基本合理。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pPr>
            <w:r>
              <w:rPr>
                <w:rFonts w:hint="eastAsia"/>
              </w:rPr>
              <w:t xml:space="preserve">7. </w:t>
            </w:r>
            <w:r>
              <w:t>OHSMS</w:t>
            </w:r>
            <w:r>
              <w:rPr>
                <w:rFonts w:hint="eastAsia"/>
              </w:rPr>
              <w:t>职业健康安全危险源</w:t>
            </w:r>
          </w:p>
          <w:p>
            <w:pPr>
              <w:spacing w:line="300" w:lineRule="exact"/>
              <w:rPr>
                <w:rFonts w:hint="eastAsia"/>
              </w:rPr>
            </w:pPr>
            <w:r>
              <w:rPr>
                <w:rFonts w:hint="eastAsia"/>
              </w:rPr>
              <w:t>（职业健康安全危险源辨识是否充分、风险评价合理性，以及风险评价动态变更的及时性等）</w:t>
            </w:r>
          </w:p>
          <w:p>
            <w:pPr>
              <w:ind w:firstLine="420" w:firstLineChars="200"/>
              <w:rPr>
                <w:rFonts w:hint="eastAsia"/>
                <w:sz w:val="21"/>
                <w:szCs w:val="21"/>
              </w:rPr>
            </w:pPr>
            <w:r>
              <w:rPr>
                <w:rFonts w:hint="eastAsia"/>
                <w:sz w:val="21"/>
                <w:szCs w:val="21"/>
                <w:lang w:eastAsia="zh-CN"/>
              </w:rPr>
              <w:t>编制</w:t>
            </w:r>
            <w:r>
              <w:rPr>
                <w:rFonts w:hint="eastAsia"/>
                <w:sz w:val="21"/>
                <w:szCs w:val="21"/>
              </w:rPr>
              <w:t>《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 w:val="21"/>
                <w:szCs w:val="21"/>
              </w:rPr>
            </w:pPr>
            <w:r>
              <w:rPr>
                <w:rFonts w:hint="eastAsia"/>
                <w:sz w:val="21"/>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sz w:val="21"/>
                <w:szCs w:val="21"/>
                <w:lang w:val="en-US" w:eastAsia="zh-CN"/>
              </w:rPr>
              <w:t>4</w:t>
            </w:r>
            <w:r>
              <w:rPr>
                <w:rFonts w:hint="eastAsia"/>
                <w:sz w:val="21"/>
                <w:szCs w:val="21"/>
              </w:rPr>
              <w:t>项，涉及：火灾和触电</w:t>
            </w:r>
            <w:r>
              <w:rPr>
                <w:rFonts w:hint="eastAsia"/>
                <w:sz w:val="21"/>
                <w:szCs w:val="21"/>
                <w:lang w:eastAsia="zh-CN"/>
              </w:rPr>
              <w:t>、机械伤害、</w:t>
            </w:r>
            <w:r>
              <w:rPr>
                <w:rFonts w:hint="eastAsia"/>
                <w:sz w:val="21"/>
                <w:szCs w:val="21"/>
                <w:lang w:val="en-US" w:eastAsia="zh-CN"/>
              </w:rPr>
              <w:t>意外伤害</w:t>
            </w:r>
            <w:r>
              <w:rPr>
                <w:rFonts w:hint="eastAsia"/>
                <w:sz w:val="21"/>
                <w:szCs w:val="21"/>
                <w:lang w:eastAsia="zh-CN"/>
              </w:rPr>
              <w:t>。</w:t>
            </w:r>
            <w:r>
              <w:rPr>
                <w:rFonts w:hint="eastAsia"/>
                <w:sz w:val="21"/>
                <w:szCs w:val="21"/>
              </w:rPr>
              <w:t>评价符合程序要求及公司的实际情况。对危险源的控制措施包括制定管理制度、监督检查、应急预案、培训等。</w:t>
            </w:r>
          </w:p>
          <w:p>
            <w:pPr>
              <w:pStyle w:val="2"/>
              <w:rPr>
                <w:rFonts w:ascii="宋体" w:hAnsi="宋体"/>
                <w:b/>
                <w:sz w:val="21"/>
                <w:szCs w:val="21"/>
              </w:rPr>
            </w:pPr>
            <w:r>
              <w:rPr>
                <w:rFonts w:hint="eastAsia" w:ascii="Times New Roman" w:hAnsi="Times New Roman" w:eastAsia="宋体" w:cs="Times New Roman"/>
                <w:bCs w:val="0"/>
                <w:spacing w:val="0"/>
                <w:kern w:val="2"/>
                <w:sz w:val="21"/>
                <w:szCs w:val="21"/>
                <w:lang w:val="en-US" w:eastAsia="zh-CN" w:bidi="ar-SA"/>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90</w:t>
            </w:r>
            <w:r>
              <w:rPr>
                <w:rFonts w:hint="eastAsia" w:ascii="宋体" w:hAnsi="宋体"/>
                <w:b/>
                <w:color w:val="000000" w:themeColor="text1"/>
                <w:szCs w:val="21"/>
              </w:rPr>
              <w:t>项，■法律法规获取充分，□法律法规获取有遗漏，缺少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rPr>
                <w:rFonts w:ascii="宋体" w:hAnsi="宋体"/>
                <w:b/>
                <w:sz w:val="21"/>
                <w:szCs w:val="2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hint="eastAsia"/>
                <w:bCs/>
                <w:szCs w:val="21"/>
              </w:rPr>
            </w:pPr>
          </w:p>
          <w:p>
            <w:pPr>
              <w:tabs>
                <w:tab w:val="left" w:pos="540"/>
              </w:tabs>
              <w:spacing w:line="240" w:lineRule="exact"/>
              <w:rPr>
                <w:rFonts w:ascii="宋体" w:hAnsi="宋体"/>
                <w:b/>
                <w:sz w:val="21"/>
                <w:szCs w:val="21"/>
              </w:rPr>
            </w:pPr>
            <w:r>
              <w:rPr>
                <w:rFonts w:hint="eastAsia"/>
                <w:bCs/>
                <w:szCs w:val="21"/>
              </w:rPr>
              <w:t>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rFonts w:hint="eastAsia"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pPr>
          </w:p>
          <w:p>
            <w:pPr>
              <w:spacing w:line="300" w:lineRule="exact"/>
              <w:rPr>
                <w:rFonts w:ascii="宋体" w:hAnsi="宋体"/>
                <w:b/>
                <w:sz w:val="21"/>
                <w:szCs w:val="21"/>
              </w:rPr>
            </w:pPr>
            <w:r>
              <w:rPr>
                <w:rFonts w:hint="eastAsia"/>
                <w:bCs/>
                <w:szCs w:val="21"/>
              </w:rPr>
              <w:t>该公司</w:t>
            </w:r>
            <w:r>
              <w:rPr>
                <w:rFonts w:hint="eastAsia"/>
                <w:bCs/>
                <w:color w:val="auto"/>
                <w:szCs w:val="21"/>
              </w:rPr>
              <w:t>员工共</w:t>
            </w:r>
            <w:r>
              <w:rPr>
                <w:rFonts w:hint="eastAsia"/>
                <w:bCs/>
                <w:color w:val="auto"/>
                <w:szCs w:val="21"/>
                <w:lang w:val="en-US" w:eastAsia="zh-CN"/>
              </w:rPr>
              <w:t>25</w:t>
            </w:r>
            <w:r>
              <w:rPr>
                <w:rFonts w:hint="eastAsia"/>
                <w:bCs/>
                <w:color w:val="auto"/>
                <w:szCs w:val="21"/>
              </w:rPr>
              <w:t>人，管理人员</w:t>
            </w:r>
            <w:r>
              <w:rPr>
                <w:rFonts w:hint="eastAsia"/>
                <w:bCs/>
                <w:color w:val="auto"/>
                <w:szCs w:val="21"/>
                <w:lang w:val="en-US" w:eastAsia="zh-CN"/>
              </w:rPr>
              <w:t>5</w:t>
            </w:r>
            <w:r>
              <w:rPr>
                <w:rFonts w:hint="eastAsia"/>
                <w:bCs/>
                <w:color w:val="auto"/>
                <w:szCs w:val="21"/>
              </w:rPr>
              <w:t>人。有</w:t>
            </w:r>
            <w:r>
              <w:rPr>
                <w:rFonts w:hint="eastAsia"/>
                <w:bCs/>
                <w:szCs w:val="21"/>
              </w:rPr>
              <w:t>专业的</w:t>
            </w:r>
            <w:r>
              <w:rPr>
                <w:rFonts w:hint="eastAsia"/>
                <w:bCs/>
                <w:szCs w:val="21"/>
                <w:lang w:eastAsia="zh-CN"/>
              </w:rPr>
              <w:t>生产</w:t>
            </w:r>
            <w:r>
              <w:rPr>
                <w:rFonts w:hint="eastAsia"/>
                <w:bCs/>
                <w:szCs w:val="21"/>
              </w:rPr>
              <w:t>人员</w:t>
            </w:r>
            <w:r>
              <w:rPr>
                <w:rFonts w:hint="eastAsia"/>
                <w:bCs/>
                <w:szCs w:val="21"/>
                <w:lang w:eastAsia="zh-CN"/>
              </w:rPr>
              <w:t>、技术人员</w:t>
            </w:r>
            <w:r>
              <w:rPr>
                <w:rFonts w:hint="eastAsia"/>
                <w:bCs/>
                <w:szCs w:val="21"/>
              </w:rPr>
              <w:t>，能满足</w:t>
            </w:r>
            <w:r>
              <w:rPr>
                <w:rFonts w:hint="eastAsia" w:ascii="宋体" w:hAnsi="宋体"/>
              </w:rPr>
              <w:t>车用传感器及车门玻璃升降器的组装加工</w:t>
            </w:r>
            <w:r>
              <w:rPr>
                <w:rFonts w:hint="eastAsia" w:ascii="宋体" w:hAnsi="宋体" w:cs="宋体"/>
                <w:kern w:val="0"/>
                <w:szCs w:val="21"/>
                <w:lang w:eastAsia="zh-CN"/>
              </w:rPr>
              <w:t>的环境及职业健康安全要求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hint="eastAsia" w:ascii="宋体" w:hAnsi="宋体" w:eastAsia="宋体" w:cs="宋体"/>
                <w:sz w:val="21"/>
                <w:szCs w:val="21"/>
              </w:rPr>
            </w:pPr>
            <w:r>
              <w:rPr>
                <w:rFonts w:hint="eastAsia" w:ascii="宋体" w:hAnsi="宋体" w:eastAsia="宋体" w:cs="宋体"/>
                <w:sz w:val="21"/>
                <w:szCs w:val="21"/>
              </w:rPr>
              <w:t>基础设施</w:t>
            </w:r>
          </w:p>
          <w:p>
            <w:pPr>
              <w:spacing w:line="240" w:lineRule="exact"/>
              <w:rPr>
                <w:rFonts w:hint="eastAsia" w:ascii="宋体" w:hAnsi="宋体" w:eastAsia="宋体" w:cs="宋体"/>
                <w:color w:val="auto"/>
                <w:sz w:val="21"/>
                <w:szCs w:val="21"/>
              </w:rPr>
            </w:pPr>
            <w:r>
              <w:rPr>
                <w:rFonts w:hint="eastAsia" w:ascii="宋体" w:hAnsi="宋体" w:cs="宋体"/>
                <w:color w:val="auto"/>
                <w:sz w:val="21"/>
                <w:szCs w:val="21"/>
                <w:lang w:eastAsia="zh-CN"/>
              </w:rPr>
              <w:t>生产设施：</w:t>
            </w:r>
            <w:r>
              <w:rPr>
                <w:rFonts w:hint="eastAsia"/>
                <w:color w:val="auto"/>
              </w:rPr>
              <w:t>激光打标机、热板机、注塑机、压铆机</w:t>
            </w:r>
            <w:r>
              <w:rPr>
                <w:rFonts w:hint="eastAsia" w:ascii="宋体" w:hAnsi="宋体" w:cs="宋体"/>
                <w:color w:val="auto"/>
                <w:sz w:val="21"/>
                <w:szCs w:val="21"/>
                <w:lang w:val="en-US" w:eastAsia="zh-CN"/>
              </w:rPr>
              <w:t>等</w:t>
            </w:r>
            <w:r>
              <w:rPr>
                <w:rFonts w:hint="eastAsia" w:ascii="宋体" w:hAnsi="宋体" w:cs="宋体"/>
                <w:color w:val="auto"/>
                <w:sz w:val="21"/>
                <w:szCs w:val="21"/>
                <w:lang w:eastAsia="zh-CN"/>
              </w:rPr>
              <w:t>设施</w:t>
            </w:r>
            <w:r>
              <w:rPr>
                <w:rFonts w:hint="eastAsia" w:ascii="宋体" w:hAnsi="宋体" w:eastAsia="宋体" w:cs="宋体"/>
                <w:color w:val="auto"/>
                <w:sz w:val="21"/>
                <w:szCs w:val="21"/>
              </w:rPr>
              <w:t>等</w:t>
            </w:r>
          </w:p>
          <w:p>
            <w:pPr>
              <w:pStyle w:val="2"/>
              <w:rPr>
                <w:rFonts w:hint="eastAsia" w:ascii="宋体" w:hAnsi="宋体" w:cs="宋体"/>
                <w:color w:val="auto"/>
                <w:sz w:val="21"/>
                <w:szCs w:val="21"/>
                <w:lang w:eastAsia="zh-CN"/>
              </w:rPr>
            </w:pPr>
            <w:r>
              <w:rPr>
                <w:rFonts w:hint="eastAsia" w:ascii="宋体" w:hAnsi="宋体" w:cs="宋体"/>
                <w:color w:val="auto"/>
                <w:sz w:val="21"/>
                <w:szCs w:val="21"/>
                <w:lang w:eastAsia="zh-CN"/>
              </w:rPr>
              <w:t>办公设施：电脑、打印机、复印机等</w:t>
            </w:r>
          </w:p>
          <w:p>
            <w:pPr>
              <w:pStyle w:val="2"/>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环保设备：废气收集装置、垃圾筒</w:t>
            </w:r>
          </w:p>
          <w:p>
            <w:pPr>
              <w:pStyle w:val="2"/>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安全设备：灭火器、消防栓</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现场观察</w:t>
            </w:r>
            <w:r>
              <w:rPr>
                <w:rFonts w:hint="eastAsia"/>
                <w:lang w:eastAsia="zh-CN"/>
              </w:rPr>
              <w:t>生产车间、</w:t>
            </w:r>
            <w:r>
              <w:rPr>
                <w:rFonts w:hint="eastAsia"/>
              </w:rPr>
              <w:t>办公区域环境卫生管理，工作场所布局合理，温湿度适宜，照明良好，满足办公需求。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sz w:val="21"/>
                <w:szCs w:val="21"/>
              </w:rPr>
            </w:pPr>
            <w:r>
              <w:rPr>
                <w:rFonts w:hint="eastAsia"/>
              </w:rPr>
              <w:t>编制有</w:t>
            </w:r>
            <w:r>
              <w:rPr>
                <w:rFonts w:hint="eastAsia"/>
                <w:lang w:eastAsia="zh-CN"/>
              </w:rPr>
              <w:t>生产环境及职业健康安全运行</w:t>
            </w:r>
            <w:r>
              <w:rPr>
                <w:rFonts w:hint="eastAsia"/>
              </w:rPr>
              <w:t>检查记录，能不定期对</w:t>
            </w:r>
            <w:r>
              <w:rPr>
                <w:rFonts w:hint="eastAsia"/>
                <w:lang w:eastAsia="zh-CN"/>
              </w:rPr>
              <w:t>环境及职业健康安全</w:t>
            </w:r>
            <w:r>
              <w:rPr>
                <w:rFonts w:hint="eastAsia"/>
              </w:rPr>
              <w:t>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rPr>
            </w:pPr>
          </w:p>
          <w:p>
            <w:pPr>
              <w:spacing w:line="240" w:lineRule="exact"/>
              <w:rPr>
                <w:rFonts w:ascii="宋体" w:hAnsi="宋体"/>
                <w:color w:val="000000" w:themeColor="text1"/>
                <w:sz w:val="20"/>
                <w:szCs w:val="20"/>
              </w:rPr>
            </w:pPr>
            <w:r>
              <w:rPr>
                <w:rFonts w:hint="eastAsia"/>
              </w:rPr>
              <w:t>配备有</w:t>
            </w:r>
            <w:r>
              <w:rPr>
                <w:rFonts w:hint="eastAsia"/>
                <w:b/>
                <w:color w:val="000000" w:themeColor="text1"/>
                <w:sz w:val="22"/>
                <w:szCs w:val="22"/>
                <w:lang w:val="en-US" w:eastAsia="zh-CN"/>
              </w:rPr>
              <w:t>废气收集装置</w:t>
            </w:r>
            <w:r>
              <w:rPr>
                <w:rFonts w:hint="eastAsia"/>
                <w:b/>
                <w:color w:val="000000" w:themeColor="text1"/>
                <w:sz w:val="22"/>
                <w:szCs w:val="22"/>
                <w:lang w:eastAsia="zh-CN"/>
              </w:rPr>
              <w:t>、</w:t>
            </w:r>
            <w:r>
              <w:rPr>
                <w:rFonts w:hint="eastAsia"/>
                <w:b/>
                <w:color w:val="000000" w:themeColor="text1"/>
                <w:sz w:val="22"/>
                <w:szCs w:val="22"/>
                <w:lang w:val="en-US" w:eastAsia="zh-CN"/>
              </w:rPr>
              <w:t>垃圾桶、</w:t>
            </w:r>
            <w:r>
              <w:rPr>
                <w:rFonts w:hint="eastAsia"/>
                <w:lang w:eastAsia="zh-CN"/>
              </w:rPr>
              <w:t>灭火器</w:t>
            </w:r>
            <w:r>
              <w:rPr>
                <w:rFonts w:hint="eastAsia"/>
              </w:rPr>
              <w:t>等环保设施。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hint="eastAsia"/>
                <w:b/>
                <w:bCs/>
              </w:rPr>
            </w:pPr>
            <w:r>
              <w:rPr>
                <w:rFonts w:hint="eastAsia"/>
                <w:b/>
                <w:bCs/>
              </w:rPr>
              <w:t>职业健康安全设施：</w:t>
            </w:r>
          </w:p>
          <w:p>
            <w:pPr>
              <w:spacing w:line="240" w:lineRule="exact"/>
              <w:rPr>
                <w:rFonts w:hint="eastAsia"/>
              </w:rPr>
            </w:pPr>
            <w:r>
              <w:rPr>
                <w:rFonts w:hint="eastAsia"/>
              </w:rPr>
              <w:t>配备有灭火器</w:t>
            </w:r>
            <w:r>
              <w:rPr>
                <w:rFonts w:hint="eastAsia"/>
                <w:lang w:eastAsia="zh-CN"/>
              </w:rPr>
              <w:t>、</w:t>
            </w:r>
            <w:r>
              <w:rPr>
                <w:rFonts w:hint="eastAsia"/>
                <w:lang w:val="en-US" w:eastAsia="zh-CN"/>
              </w:rPr>
              <w:t>消防栓</w:t>
            </w:r>
            <w:r>
              <w:rPr>
                <w:rFonts w:hint="eastAsia"/>
              </w:rPr>
              <w:t>等环保设施。</w:t>
            </w:r>
          </w:p>
          <w:p>
            <w:pPr>
              <w:pStyle w:val="2"/>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pStyle w:val="2"/>
              <w:rPr>
                <w:rFonts w:hint="eastAsia"/>
                <w:b/>
                <w:color w:val="000000" w:themeColor="text1"/>
                <w:sz w:val="20"/>
                <w:szCs w:val="20"/>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spacing w:line="300" w:lineRule="exact"/>
              <w:ind w:left="1"/>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bCs/>
                <w:szCs w:val="21"/>
              </w:rPr>
            </w:pPr>
            <w:r>
              <w:rPr>
                <w:rFonts w:hint="eastAsia" w:ascii="楷体_GB2312" w:eastAsia="楷体_GB2312"/>
                <w:b/>
                <w:szCs w:val="21"/>
              </w:rPr>
              <w:t>组织对外联络，关注顾客的感受情况（QMS）：</w:t>
            </w: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r>
              <w:rPr>
                <w:rFonts w:hint="eastAsia" w:ascii="宋体" w:hAnsi="宋体" w:cs="宋体"/>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spacing w:line="240" w:lineRule="exact"/>
              <w:rPr>
                <w:rFonts w:ascii="宋体" w:hAnsi="宋体"/>
                <w:b/>
                <w:sz w:val="21"/>
                <w:szCs w:val="21"/>
              </w:rPr>
            </w:pPr>
            <w:r>
              <w:rPr>
                <w:rFonts w:hint="eastAsia"/>
                <w:bCs/>
                <w:szCs w:val="21"/>
              </w:rPr>
              <w:t>对重要环境因素（</w:t>
            </w:r>
            <w:r>
              <w:rPr>
                <w:rFonts w:hint="eastAsia"/>
                <w:sz w:val="21"/>
                <w:szCs w:val="21"/>
              </w:rPr>
              <w:t>固废排放、火灾</w:t>
            </w:r>
            <w:r>
              <w:rPr>
                <w:rFonts w:hint="eastAsia"/>
                <w:sz w:val="21"/>
                <w:szCs w:val="21"/>
                <w:lang w:eastAsia="zh-CN"/>
              </w:rPr>
              <w:t>、噪声、废气</w:t>
            </w:r>
            <w:r>
              <w:rPr>
                <w:rFonts w:hint="eastAsia"/>
                <w:bCs/>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rFonts w:ascii="宋体" w:hAnsi="宋体"/>
                <w:b/>
                <w:sz w:val="21"/>
                <w:szCs w:val="21"/>
              </w:rPr>
            </w:pPr>
            <w:r>
              <w:rPr>
                <w:rFonts w:hint="eastAsia"/>
                <w:bCs/>
                <w:szCs w:val="21"/>
              </w:rPr>
              <w:t>对不可接受风险（</w:t>
            </w:r>
            <w:r>
              <w:rPr>
                <w:rFonts w:hint="eastAsia"/>
                <w:sz w:val="21"/>
                <w:szCs w:val="21"/>
              </w:rPr>
              <w:t>火灾和触电</w:t>
            </w:r>
            <w:r>
              <w:rPr>
                <w:rFonts w:hint="eastAsia"/>
                <w:sz w:val="21"/>
                <w:szCs w:val="21"/>
                <w:lang w:eastAsia="zh-CN"/>
              </w:rPr>
              <w:t>、机械伤害、</w:t>
            </w:r>
            <w:r>
              <w:rPr>
                <w:rFonts w:hint="eastAsia"/>
                <w:sz w:val="21"/>
                <w:szCs w:val="21"/>
                <w:lang w:val="en-US" w:eastAsia="zh-CN"/>
              </w:rPr>
              <w:t>意外伤害</w:t>
            </w:r>
            <w:r>
              <w:rPr>
                <w:rFonts w:hint="eastAsia"/>
                <w:bCs/>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rFonts w:ascii="宋体" w:hAnsi="宋体"/>
                <w:b/>
                <w:sz w:val="21"/>
                <w:szCs w:val="21"/>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hint="eastAsia"/>
                <w:b/>
                <w:bCs/>
              </w:rPr>
            </w:pPr>
            <w:r>
              <w:rPr>
                <w:rFonts w:hint="eastAsia"/>
                <w:b/>
                <w:bCs/>
              </w:rPr>
              <w:t>11 .对危险化学品销售、使用、储存、运输处置，规定的执行力度(必要时); （适用时）</w:t>
            </w:r>
          </w:p>
          <w:p>
            <w:pPr>
              <w:pStyle w:val="2"/>
              <w:rPr>
                <w:rFonts w:hint="eastAsia"/>
                <w:b/>
                <w:color w:val="FF0000"/>
                <w:sz w:val="20"/>
                <w:szCs w:val="20"/>
              </w:rPr>
            </w:pPr>
          </w:p>
          <w:p>
            <w:pPr>
              <w:pStyle w:val="2"/>
              <w:numPr>
                <w:ilvl w:val="0"/>
                <w:numId w:val="0"/>
              </w:numPr>
              <w:ind w:left="0" w:leftChars="0" w:firstLine="0" w:firstLineChars="0"/>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20" w:firstLineChars="50"/>
              <w:rPr>
                <w:bCs/>
                <w:szCs w:val="21"/>
              </w:rPr>
            </w:pPr>
            <w:r>
              <w:rPr>
                <w:rFonts w:hint="eastAsia"/>
                <w:bCs/>
                <w:szCs w:val="21"/>
              </w:rPr>
              <w:t>对环境/安全目标指标进行了考核，各部门基本可以完成环境/安全目标要求。目标具备可测量性</w:t>
            </w:r>
          </w:p>
          <w:p>
            <w:pPr>
              <w:spacing w:line="240" w:lineRule="exact"/>
              <w:ind w:firstLine="105" w:firstLineChars="5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20" w:leftChars="0" w:hanging="120" w:hangingChars="50"/>
              <w:rPr>
                <w:rFonts w:ascii="宋体" w:hAnsi="宋体"/>
                <w:b/>
                <w:sz w:val="21"/>
                <w:szCs w:val="21"/>
              </w:rPr>
            </w:pPr>
            <w:r>
              <w:rPr>
                <w:rFonts w:hint="eastAsia"/>
                <w:bCs/>
                <w:szCs w:val="21"/>
              </w:rPr>
              <w:t>对顾客进行满意度调查，并进行了分析。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rFonts w:hint="eastAsia"/>
              </w:rPr>
            </w:pPr>
            <w:r>
              <w:rPr>
                <w:rFonts w:hint="eastAsia"/>
              </w:rPr>
              <w:t>建立有《内部审核控制程序》，规定了内审频次一年一次，拟定了审核实施表，明确了内审范围，内审人员经培训合格上岗，能力满足要求，未出现审核本部门情况，内审不符合项</w:t>
            </w:r>
            <w:r>
              <w:rPr>
                <w:rFonts w:hint="eastAsia"/>
                <w:lang w:val="en-US" w:eastAsia="zh-CN"/>
              </w:rPr>
              <w:t>1</w:t>
            </w:r>
            <w:r>
              <w:rPr>
                <w:rFonts w:hint="eastAsia"/>
              </w:rPr>
              <w:t>项，已及时采取纠正措施后，经内审员验证关闭。内审的有效性需要改善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rFonts w:ascii="宋体" w:hAnsi="宋体"/>
                <w:b/>
                <w:sz w:val="21"/>
                <w:szCs w:val="21"/>
              </w:rPr>
            </w:pPr>
            <w:r>
              <w:rPr>
                <w:rFonts w:hint="eastAsia" w:ascii="宋体" w:hAnsi="宋体" w:cs="宋体"/>
                <w:szCs w:val="21"/>
              </w:rPr>
              <w:t>管理评审频次为一年一次、本次管理评审由总经理主持完成、提供主要输入材料有各部门总结，输入信息基本充分和满足要求。输出见“管理评审报告”,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FF0000"/>
                <w:sz w:val="20"/>
                <w:szCs w:val="20"/>
              </w:rPr>
            </w:pP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有环境登记表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rFonts w:hint="eastAsia"/>
                <w:b/>
                <w:color w:val="000000" w:themeColor="text1"/>
                <w:sz w:val="20"/>
                <w:szCs w:val="20"/>
              </w:rPr>
            </w:pPr>
          </w:p>
          <w:p>
            <w:pPr>
              <w:spacing w:line="240" w:lineRule="exact"/>
              <w:rPr>
                <w:rFonts w:hint="default" w:ascii="宋体" w:hAnsi="宋体"/>
                <w:b/>
                <w:sz w:val="21"/>
                <w:szCs w:val="21"/>
                <w:lang w:val="en-US"/>
              </w:rPr>
            </w:pPr>
            <w:r>
              <w:rPr>
                <w:rFonts w:hint="eastAsia"/>
                <w:b/>
                <w:color w:val="000000" w:themeColor="text1"/>
                <w:sz w:val="20"/>
                <w:szCs w:val="20"/>
                <w:lang w:val="en-US" w:eastAsia="zh-CN"/>
              </w:rPr>
              <w:t>提供有体检报告，见附件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pPr>
            <w:r>
              <w:t xml:space="preserve">1 </w:t>
            </w:r>
            <w:r>
              <w:rPr>
                <w:rFonts w:hint="eastAsia"/>
              </w:rPr>
              <w:t>纠正措施的实施及效果</w:t>
            </w:r>
            <w:r>
              <w:t>;</w:t>
            </w:r>
          </w:p>
          <w:p>
            <w:pPr>
              <w:spacing w:line="240" w:lineRule="exact"/>
              <w:rPr>
                <w:rFonts w:hint="eastAsia"/>
              </w:rPr>
            </w:pPr>
          </w:p>
          <w:p>
            <w:pPr>
              <w:spacing w:line="240" w:lineRule="exact"/>
              <w:rPr>
                <w:rFonts w:hint="eastAsia"/>
              </w:rPr>
            </w:pPr>
            <w:r>
              <w:rPr>
                <w:rFonts w:hint="eastAsia"/>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0" w:leftChars="0" w:firstLine="0" w:firstLineChars="0"/>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ind w:leftChars="0"/>
              <w:rPr>
                <w:rFonts w:ascii="宋体" w:hAnsi="宋体"/>
                <w:b/>
                <w:sz w:val="21"/>
                <w:szCs w:val="21"/>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0" w:leftChars="0" w:firstLine="0" w:firstLineChars="0"/>
              <w:rPr>
                <w:rFonts w:hint="eastAsia"/>
                <w:lang w:val="en-US" w:eastAsia="zh-CN"/>
              </w:rPr>
            </w:pPr>
            <w:r>
              <w:rPr>
                <w:rFonts w:hint="eastAsia"/>
              </w:rPr>
              <w:t>上次不符合的整改情况</w:t>
            </w:r>
            <w:r>
              <w:rPr>
                <w:rFonts w:hint="eastAsia"/>
                <w:lang w:val="en-US" w:eastAsia="zh-CN"/>
              </w:rPr>
              <w:t>:</w:t>
            </w:r>
          </w:p>
          <w:p>
            <w:pPr>
              <w:numPr>
                <w:ilvl w:val="0"/>
                <w:numId w:val="0"/>
              </w:numPr>
              <w:spacing w:line="240" w:lineRule="exact"/>
              <w:ind w:leftChars="0"/>
              <w:rPr>
                <w:rFonts w:hint="default" w:ascii="宋体" w:hAnsi="宋体"/>
                <w:b/>
                <w:sz w:val="21"/>
                <w:szCs w:val="21"/>
                <w:lang w:val="en-US" w:eastAsia="zh-CN"/>
              </w:rPr>
            </w:pPr>
            <w:r>
              <w:rPr>
                <w:rFonts w:hint="eastAsia" w:ascii="宋体" w:hAnsi="宋体"/>
                <w:b/>
                <w:sz w:val="21"/>
                <w:szCs w:val="21"/>
                <w:lang w:val="en-US" w:eastAsia="zh-CN"/>
              </w:rPr>
              <w:t>初审不符合：“生产车间 传感器装配区，没有配置灭火器</w:t>
            </w:r>
            <w:r>
              <w:rPr>
                <w:rFonts w:hint="eastAsia" w:ascii="宋体" w:hAnsi="宋体"/>
                <w:b/>
                <w:sz w:val="21"/>
                <w:szCs w:val="21"/>
                <w:lang w:eastAsia="zh-CN"/>
              </w:rPr>
              <w:t>”</w:t>
            </w:r>
            <w:r>
              <w:rPr>
                <w:rFonts w:hint="eastAsia" w:ascii="宋体" w:hAnsi="宋体"/>
                <w:b/>
                <w:sz w:val="21"/>
                <w:szCs w:val="21"/>
                <w:lang w:val="en-US" w:eastAsia="zh-CN"/>
              </w:rPr>
              <w:t>。本次远程视频未发现此情况，整改有效</w:t>
            </w:r>
          </w:p>
          <w:p>
            <w:pPr>
              <w:pStyle w:val="2"/>
              <w:numPr>
                <w:ilvl w:val="0"/>
                <w:numId w:val="0"/>
              </w:numPr>
              <w:ind w:leftChars="0"/>
              <w:rPr>
                <w:rFonts w:hint="default"/>
                <w:lang w:val="en-US" w:eastAsia="zh-CN"/>
              </w:rPr>
            </w:pP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2</w:t>
      </w:r>
      <w:bookmarkStart w:id="14" w:name="_GoBack"/>
      <w:bookmarkEnd w:id="14"/>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pStyle w:val="16"/>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ascii="宋体" w:hAnsi="宋体" w:cs="宋体"/>
                <w:color w:val="000000"/>
                <w:kern w:val="0"/>
                <w:szCs w:val="24"/>
              </w:rPr>
              <w:t>十堰市百懋科技发展有限公司</w:t>
            </w:r>
            <w:r>
              <w:rPr>
                <w:rFonts w:hint="eastAsia"/>
                <w:color w:val="auto"/>
                <w:sz w:val="21"/>
                <w:szCs w:val="21"/>
                <w:u w:val="single"/>
                <w:lang w:val="en-US" w:eastAsia="zh-CN"/>
              </w:rPr>
              <w:t xml:space="preserve"> </w:t>
            </w:r>
            <w:r>
              <w:rPr>
                <w:rFonts w:hint="eastAsia"/>
                <w:color w:val="auto"/>
                <w:kern w:val="2"/>
                <w:sz w:val="21"/>
                <w:szCs w:val="21"/>
                <w:lang w:val="en-GB"/>
              </w:rPr>
              <w:t>的</w:t>
            </w:r>
          </w:p>
          <w:p>
            <w:pPr>
              <w:pStyle w:val="16"/>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kern w:val="2"/>
                <w:sz w:val="21"/>
                <w:szCs w:val="21"/>
                <w:lang w:val="en-GB"/>
              </w:rPr>
              <w:sym w:font="Wingdings" w:char="00A8"/>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kern w:val="2"/>
                <w:sz w:val="21"/>
                <w:szCs w:val="21"/>
                <w:lang w:val="en-GB"/>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w:t>
            </w:r>
            <w:r>
              <w:rPr>
                <w:rFonts w:hint="eastAsia"/>
                <w:lang w:val="en-US" w:eastAsia="zh-CN"/>
              </w:rPr>
              <w:t>本次审核发现的不符合，已经整改完成，整改有效，</w:t>
            </w:r>
            <w:r>
              <w:rPr>
                <w:rFonts w:hint="eastAsia"/>
              </w:rPr>
              <w:t>组织初步建立了自我完善和自我改进机制，同意推荐</w:t>
            </w:r>
            <w:r>
              <w:rPr>
                <w:rFonts w:hint="eastAsia"/>
                <w:lang w:val="en-US" w:eastAsia="zh-CN"/>
              </w:rPr>
              <w:t>保持</w:t>
            </w:r>
            <w:r>
              <w:rPr>
                <w:rFonts w:hint="eastAsia"/>
              </w:rPr>
              <w:t>认证注册。</w:t>
            </w: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r>
        <w:drawing>
          <wp:anchor distT="0" distB="0" distL="114300" distR="114300" simplePos="0" relativeHeight="251661312" behindDoc="0" locked="0" layoutInCell="1" allowOverlap="1">
            <wp:simplePos x="0" y="0"/>
            <wp:positionH relativeFrom="column">
              <wp:posOffset>1671955</wp:posOffset>
            </wp:positionH>
            <wp:positionV relativeFrom="paragraph">
              <wp:posOffset>-142240</wp:posOffset>
            </wp:positionV>
            <wp:extent cx="904875" cy="299720"/>
            <wp:effectExtent l="0" t="0" r="9525" b="508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904875" cy="299720"/>
                    </a:xfrm>
                    <a:prstGeom prst="rect">
                      <a:avLst/>
                    </a:prstGeom>
                    <a:noFill/>
                    <a:ln>
                      <a:noFill/>
                    </a:ln>
                  </pic:spPr>
                </pic:pic>
              </a:graphicData>
            </a:graphic>
          </wp:anchor>
        </w:drawing>
      </w:r>
    </w:p>
    <w:p>
      <w:pPr>
        <w:snapToGrid w:val="0"/>
        <w:spacing w:before="163" w:beforeLines="50" w:line="320" w:lineRule="exact"/>
        <w:ind w:firstLine="527" w:firstLineChars="250"/>
        <w:rPr>
          <w:b/>
          <w:sz w:val="21"/>
        </w:rPr>
      </w:pPr>
      <w:r>
        <w:rPr>
          <w:rFonts w:hint="eastAsia"/>
          <w:b/>
          <w:sz w:val="21"/>
        </w:rPr>
        <w:t>审核组组员（签名）：</w:t>
      </w:r>
      <w:r>
        <w:drawing>
          <wp:inline distT="0" distB="0" distL="114300" distR="114300">
            <wp:extent cx="1043940" cy="334645"/>
            <wp:effectExtent l="0" t="0" r="1016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1043940" cy="334645"/>
                    </a:xfrm>
                    <a:prstGeom prst="rect">
                      <a:avLst/>
                    </a:prstGeom>
                    <a:noFill/>
                    <a:ln>
                      <a:noFill/>
                    </a:ln>
                  </pic:spPr>
                </pic:pic>
              </a:graphicData>
            </a:graphic>
          </wp:inline>
        </w:drawing>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2020.12.2</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EMS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 xml:space="preserve">OHSMS ( </w:t>
      </w:r>
      <w:r>
        <w:rPr>
          <w:rFonts w:hint="eastAsia"/>
          <w:b/>
          <w:sz w:val="21"/>
          <w:szCs w:val="21"/>
          <w:lang w:val="en-US" w:eastAsia="zh-CN"/>
        </w:rPr>
        <w:t>1</w:t>
      </w:r>
      <w:r>
        <w:rPr>
          <w:b/>
          <w:sz w:val="21"/>
          <w:szCs w:val="21"/>
        </w:rPr>
        <w:t xml:space="preserve">  )</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lang w:eastAsia="zh-CN"/>
        </w:rPr>
        <w:t>☑</w:t>
      </w:r>
      <w:r>
        <w:rPr>
          <w:rFonts w:hint="eastAsia"/>
          <w:b/>
          <w:sz w:val="21"/>
          <w:szCs w:val="21"/>
        </w:rPr>
        <w:t>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r>
        <w:drawing>
          <wp:inline distT="0" distB="0" distL="114300" distR="114300">
            <wp:extent cx="904875" cy="224790"/>
            <wp:effectExtent l="0" t="0" r="952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904875" cy="224790"/>
                    </a:xfrm>
                    <a:prstGeom prst="rect">
                      <a:avLst/>
                    </a:prstGeom>
                    <a:noFill/>
                    <a:ln>
                      <a:noFill/>
                    </a:ln>
                  </pic:spPr>
                </pic:pic>
              </a:graphicData>
            </a:graphic>
          </wp:inline>
        </w:drawing>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08328D"/>
    <w:multiLevelType w:val="singleLevel"/>
    <w:tmpl w:val="CB08328D"/>
    <w:lvl w:ilvl="0" w:tentative="0">
      <w:start w:val="3"/>
      <w:numFmt w:val="decimal"/>
      <w:lvlText w:val="%1."/>
      <w:lvlJc w:val="left"/>
      <w:pPr>
        <w:tabs>
          <w:tab w:val="left" w:pos="312"/>
        </w:tabs>
      </w:pPr>
    </w:lvl>
  </w:abstractNum>
  <w:abstractNum w:abstractNumId="1">
    <w:nsid w:val="F16C66C2"/>
    <w:multiLevelType w:val="singleLevel"/>
    <w:tmpl w:val="F16C66C2"/>
    <w:lvl w:ilvl="0" w:tentative="0">
      <w:start w:val="1"/>
      <w:numFmt w:val="decimal"/>
      <w:lvlText w:val="%1."/>
      <w:lvlJc w:val="left"/>
      <w:pPr>
        <w:tabs>
          <w:tab w:val="left" w:pos="312"/>
        </w:tabs>
      </w:pPr>
    </w:lvl>
  </w:abstractNum>
  <w:abstractNum w:abstractNumId="2">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3">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567349F5"/>
    <w:multiLevelType w:val="singleLevel"/>
    <w:tmpl w:val="567349F5"/>
    <w:lvl w:ilvl="0" w:tentative="0">
      <w:start w:val="2"/>
      <w:numFmt w:val="decimal"/>
      <w:suff w:val="nothing"/>
      <w:lvlText w:val="%1、"/>
      <w:lvlJc w:val="left"/>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C1008C"/>
    <w:rsid w:val="0CB6550D"/>
    <w:rsid w:val="29F52D05"/>
    <w:rsid w:val="33C57E9E"/>
    <w:rsid w:val="47DD05B6"/>
    <w:rsid w:val="48351493"/>
    <w:rsid w:val="4F5E034F"/>
    <w:rsid w:val="5FFD5C49"/>
    <w:rsid w:val="7A497B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qFormat/>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5"/>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列出段落1"/>
    <w:basedOn w:val="1"/>
    <w:qFormat/>
    <w:uiPriority w:val="34"/>
    <w:pPr>
      <w:ind w:firstLine="420" w:firstLineChars="200"/>
    </w:p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2</TotalTime>
  <ScaleCrop>false</ScaleCrop>
  <LinksUpToDate>false</LinksUpToDate>
  <CharactersWithSpaces>4386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叶子</cp:lastModifiedBy>
  <cp:lastPrinted>2019-04-18T08:15:00Z</cp:lastPrinted>
  <dcterms:modified xsi:type="dcterms:W3CDTF">2020-12-02T14:19:18Z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