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北京华易阳光劳务服务有限公司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63A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2021-02-01T15:46:38Z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