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0577-2020-Q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宝鸡市中元机械制造有限公司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宝鸡市中元机械制造有限公司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陕西省宝鸡市眉县首善镇陈家庄(原第五村乡政府院内)</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721300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陕西省宝鸡市眉县首善镇陈家庄(原第五村乡政府院内)</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721300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18992777302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张凌恺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张科</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250588068@qq.com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2020年04月01日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工矿机械设备及配件制造、销售（需资质许可要求的产品除外）</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工矿机械设备及配件制造、销售（需资质许可要求的产品除外）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陕西省宝鸡市眉县首善镇陈家庄(原第五村乡政府院内)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陕西省宝鸡市眉县首善镇陈家庄(原第五村乡政府院内)</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Merge w:val="restart"/>
          </w:tcPr>
          <w:p>
            <w:pPr>
              <w:ind w:left="-1" w:leftChars="-1" w:hanging="1"/>
              <w:jc w:val="left"/>
              <w:rPr>
                <w:rFonts w:ascii="宋体"/>
                <w:color w:val="000000"/>
                <w:sz w:val="20"/>
                <w:szCs w:val="20"/>
                <w:highlight w:val="none"/>
              </w:rPr>
            </w:pPr>
            <w:r>
              <w:rPr>
                <w:rFonts w:hint="eastAsia" w:ascii="宋体" w:hAnsi="宋体"/>
                <w:color w:val="000000"/>
                <w:sz w:val="20"/>
                <w:szCs w:val="20"/>
                <w:highlight w:val="none"/>
              </w:rPr>
              <w:t>受审核方认证范围内的产品的技术标准，及符合性证据</w:t>
            </w:r>
          </w:p>
          <w:p>
            <w:pPr>
              <w:ind w:left="-1" w:leftChars="-1" w:hanging="1"/>
              <w:jc w:val="left"/>
              <w:rPr>
                <w:rFonts w:ascii="宋体"/>
                <w:color w:val="000000"/>
                <w:spacing w:val="-10"/>
                <w:sz w:val="20"/>
                <w:szCs w:val="20"/>
                <w:highlight w:val="none"/>
              </w:rPr>
            </w:pPr>
            <w:r>
              <w:rPr>
                <w:rFonts w:hint="eastAsia" w:ascii="宋体" w:hAnsi="宋体"/>
                <w:color w:val="000000"/>
                <w:spacing w:val="-10"/>
                <w:sz w:val="20"/>
                <w:szCs w:val="20"/>
                <w:highlight w:val="none"/>
              </w:rPr>
              <w:t>（</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适用）</w:t>
            </w: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产品技术标准号：</w:t>
            </w: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highlight w:val="none"/>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highlight w:val="none"/>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highlight w:val="none"/>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是否接受了行政主管部门的抽查</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否，抽查结果</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合格</w:t>
            </w:r>
            <w:r>
              <w:rPr>
                <w:rFonts w:hint="eastAsia" w:ascii="宋体" w:hAnsi="宋体"/>
                <w:color w:val="000000"/>
                <w:spacing w:val="-10"/>
                <w:sz w:val="20"/>
                <w:szCs w:val="20"/>
                <w:highlight w:val="none"/>
              </w:rPr>
              <w:t>□</w:t>
            </w:r>
            <w:r>
              <w:rPr>
                <w:rFonts w:hint="eastAsia" w:ascii="宋体" w:hAnsi="宋体"/>
                <w:color w:val="000000"/>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下料——机加工——检验——焊接——检验——交付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rPr>
              <w:t>20普车</w:t>
            </w:r>
            <w:r>
              <w:rPr>
                <w:rFonts w:hint="eastAsia"/>
                <w:lang w:eastAsia="zh-CN"/>
              </w:rPr>
              <w:t>、</w:t>
            </w:r>
            <w:r>
              <w:rPr>
                <w:rFonts w:hint="eastAsia"/>
              </w:rPr>
              <w:t>立式车床</w:t>
            </w:r>
            <w:r>
              <w:rPr>
                <w:rFonts w:hint="eastAsia"/>
                <w:lang w:eastAsia="zh-CN"/>
              </w:rPr>
              <w:t>、</w:t>
            </w:r>
            <w:r>
              <w:rPr>
                <w:rFonts w:hint="eastAsia"/>
              </w:rPr>
              <w:t>卧式镗床</w:t>
            </w:r>
            <w:r>
              <w:rPr>
                <w:rFonts w:hint="eastAsia"/>
                <w:lang w:eastAsia="zh-CN"/>
              </w:rPr>
              <w:t>、</w:t>
            </w:r>
            <w:r>
              <w:rPr>
                <w:rFonts w:hint="eastAsia"/>
              </w:rPr>
              <w:t>立式升降铣床</w:t>
            </w:r>
            <w:r>
              <w:rPr>
                <w:rFonts w:hint="eastAsia"/>
                <w:lang w:eastAsia="zh-CN"/>
              </w:rPr>
              <w:t>、</w:t>
            </w:r>
            <w:r>
              <w:rPr>
                <w:rFonts w:hint="eastAsia"/>
              </w:rPr>
              <w:t>液压板料折弯机</w:t>
            </w:r>
            <w:r>
              <w:rPr>
                <w:rFonts w:hint="eastAsia"/>
                <w:lang w:eastAsia="zh-CN"/>
              </w:rPr>
              <w:t>、</w:t>
            </w:r>
            <w:r>
              <w:rPr>
                <w:rFonts w:hint="eastAsia"/>
              </w:rPr>
              <w:t>电焊机</w:t>
            </w:r>
            <w:r>
              <w:rPr>
                <w:rFonts w:hint="eastAsia"/>
                <w:lang w:val="en-US" w:eastAsia="zh-CN"/>
              </w:rPr>
              <w:t>等13台套</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default" w:ascii="宋体" w:eastAsia="宋体"/>
                <w:color w:val="000000"/>
                <w:sz w:val="20"/>
                <w:szCs w:val="20"/>
                <w:highlight w:val="none"/>
                <w:lang w:val="en-US" w:eastAsia="zh-CN"/>
              </w:rPr>
            </w:pPr>
            <w:r>
              <w:rPr>
                <w:rFonts w:hint="eastAsia" w:ascii="宋体" w:hAnsi="宋体"/>
                <w:color w:val="000000"/>
                <w:sz w:val="20"/>
                <w:szCs w:val="20"/>
                <w:highlight w:val="none"/>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w:t>
            </w:r>
            <w:r>
              <w:rPr>
                <w:rFonts w:hint="eastAsia" w:ascii="宋体" w:hAnsi="宋体"/>
                <w:color w:val="000000"/>
                <w:sz w:val="20"/>
                <w:szCs w:val="20"/>
                <w:highlight w:val="none"/>
              </w:rPr>
              <w:sym w:font="Wingdings 2" w:char="00A3"/>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hint="default" w:ascii="宋体" w:eastAsia="宋体"/>
                <w:color w:val="000000"/>
                <w:sz w:val="20"/>
                <w:szCs w:val="20"/>
                <w:highlight w:val="none"/>
                <w:lang w:val="en-US" w:eastAsia="zh-CN"/>
              </w:rPr>
            </w:pPr>
            <w:r>
              <w:rPr>
                <w:rFonts w:hint="eastAsia" w:ascii="宋体"/>
                <w:color w:val="000000"/>
                <w:sz w:val="20"/>
                <w:szCs w:val="20"/>
                <w:highlight w:val="none"/>
              </w:rPr>
              <w:t>监视和测量设备（请简述主要监视和测量设备）：</w:t>
            </w:r>
            <w:r>
              <w:rPr>
                <w:rFonts w:hint="eastAsia" w:ascii="宋体"/>
                <w:color w:val="000000"/>
                <w:sz w:val="20"/>
                <w:szCs w:val="20"/>
                <w:highlight w:val="none"/>
                <w:lang w:val="en-US" w:eastAsia="zh-CN"/>
              </w:rPr>
              <w:t>游标卡尺、卷尺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rPr>
              <w:sym w:font="Wingdings 2" w:char="0052"/>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 2020年9月20日 ～ 2020年9月21日进行了内部审核。内部审核组组成: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组长：张科  组员：汶金玲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ascii="Times New Roman" w:hAnsi="Times New Roman" w:cs="Times New Roman"/>
                <w:szCs w:val="21"/>
              </w:rPr>
              <w:t>于2020年10月14日就</w:t>
            </w:r>
            <w:r>
              <w:rPr>
                <w:rFonts w:hint="eastAsia"/>
                <w:szCs w:val="21"/>
              </w:rPr>
              <w:t>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jc w:val="left"/>
        <w:rPr>
          <w:rFonts w:hint="eastAsia" w:ascii="宋体" w:hAnsi="宋体"/>
          <w:szCs w:val="21"/>
        </w:rPr>
      </w:pPr>
      <w:r>
        <w:rPr>
          <w:rFonts w:ascii="宋体" w:hAnsi="宋体"/>
          <w:b/>
          <w:color w:val="000000"/>
          <w:sz w:val="20"/>
          <w:szCs w:val="20"/>
        </w:rPr>
        <w:t>QMS:_</w:t>
      </w:r>
      <w:r>
        <w:rPr>
          <w:rFonts w:hint="eastAsia" w:ascii="宋体" w:hAnsi="宋体"/>
          <w:szCs w:val="21"/>
          <w:u w:val="single"/>
        </w:rPr>
        <w:t xml:space="preserve">工矿机械设备及配件制造、销售（需资质许可要求的产品除外） </w:t>
      </w:r>
    </w:p>
    <w:p>
      <w:pPr>
        <w:spacing w:line="300" w:lineRule="auto"/>
        <w:ind w:firstLine="201" w:firstLineChars="100"/>
        <w:jc w:val="left"/>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73836"/>
    <w:rsid w:val="071C53F7"/>
    <w:rsid w:val="08473D84"/>
    <w:rsid w:val="0A8F6723"/>
    <w:rsid w:val="0DF74A30"/>
    <w:rsid w:val="0EF7036B"/>
    <w:rsid w:val="14A05CB7"/>
    <w:rsid w:val="170E273E"/>
    <w:rsid w:val="20566DA7"/>
    <w:rsid w:val="23974385"/>
    <w:rsid w:val="24A0226B"/>
    <w:rsid w:val="24A140B4"/>
    <w:rsid w:val="25561CD5"/>
    <w:rsid w:val="2B6C44A1"/>
    <w:rsid w:val="2DFC5D75"/>
    <w:rsid w:val="37424CE0"/>
    <w:rsid w:val="3F464715"/>
    <w:rsid w:val="40E94A5B"/>
    <w:rsid w:val="545A29E2"/>
    <w:rsid w:val="56D57B6F"/>
    <w:rsid w:val="59DA0C38"/>
    <w:rsid w:val="6A290F27"/>
    <w:rsid w:val="6E7D5940"/>
    <w:rsid w:val="6F1511AD"/>
    <w:rsid w:val="70FD1D0C"/>
    <w:rsid w:val="75F943EE"/>
    <w:rsid w:val="777D2496"/>
    <w:rsid w:val="77F83332"/>
    <w:rsid w:val="7ACB770F"/>
    <w:rsid w:val="7B1575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2020-11-15T03:14:24Z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