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1624"/>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242" w:type="dxa"/>
            <w:vMerge w:val="restart"/>
            <w:vAlign w:val="center"/>
          </w:tcPr>
          <w:p>
            <w:pPr>
              <w:spacing w:before="120"/>
              <w:jc w:val="center"/>
              <w:rPr>
                <w:rFonts w:ascii="宋体" w:hAnsi="宋体"/>
                <w:szCs w:val="21"/>
              </w:rPr>
            </w:pPr>
            <w:r>
              <w:rPr>
                <w:rFonts w:hint="eastAsia" w:ascii="宋体" w:hAnsi="宋体"/>
                <w:szCs w:val="21"/>
              </w:rPr>
              <w:t>过程与活动、</w:t>
            </w:r>
          </w:p>
          <w:p>
            <w:pPr>
              <w:jc w:val="center"/>
              <w:rPr>
                <w:rFonts w:ascii="宋体" w:hAnsi="宋体"/>
                <w:szCs w:val="21"/>
              </w:rPr>
            </w:pPr>
            <w:r>
              <w:rPr>
                <w:rFonts w:hint="eastAsia" w:ascii="宋体" w:hAnsi="宋体"/>
                <w:szCs w:val="21"/>
              </w:rPr>
              <w:t>抽样计划</w:t>
            </w:r>
          </w:p>
        </w:tc>
        <w:tc>
          <w:tcPr>
            <w:tcW w:w="1134" w:type="dxa"/>
            <w:vMerge w:val="restart"/>
            <w:vAlign w:val="center"/>
          </w:tcPr>
          <w:p>
            <w:pPr>
              <w:rPr>
                <w:rFonts w:ascii="宋体" w:hAnsi="宋体"/>
                <w:szCs w:val="21"/>
              </w:rPr>
            </w:pPr>
            <w:r>
              <w:rPr>
                <w:rFonts w:hint="eastAsia" w:ascii="宋体" w:hAnsi="宋体"/>
                <w:szCs w:val="21"/>
              </w:rPr>
              <w:t>涉及</w:t>
            </w:r>
          </w:p>
          <w:p>
            <w:pPr>
              <w:rPr>
                <w:rFonts w:ascii="宋体" w:hAnsi="宋体"/>
                <w:szCs w:val="21"/>
              </w:rPr>
            </w:pPr>
            <w:r>
              <w:rPr>
                <w:rFonts w:hint="eastAsia" w:ascii="宋体" w:hAnsi="宋体"/>
                <w:szCs w:val="21"/>
              </w:rPr>
              <w:t>条款</w:t>
            </w:r>
          </w:p>
        </w:tc>
        <w:tc>
          <w:tcPr>
            <w:tcW w:w="11624" w:type="dxa"/>
            <w:vAlign w:val="center"/>
          </w:tcPr>
          <w:p>
            <w:pPr>
              <w:rPr>
                <w:rFonts w:ascii="宋体" w:hAnsi="宋体"/>
                <w:szCs w:val="21"/>
              </w:rPr>
            </w:pPr>
            <w:r>
              <w:rPr>
                <w:rFonts w:hint="eastAsia" w:ascii="宋体" w:hAnsi="宋体"/>
                <w:szCs w:val="21"/>
              </w:rPr>
              <w:t xml:space="preserve">受审核部门：管理层    </w:t>
            </w:r>
            <w:r>
              <w:rPr>
                <w:rFonts w:hint="eastAsia" w:ascii="宋体" w:hAnsi="宋体"/>
                <w:szCs w:val="21"/>
                <w:lang w:val="en-US" w:eastAsia="zh-CN"/>
              </w:rPr>
              <w:t xml:space="preserve">  </w:t>
            </w:r>
            <w:bookmarkStart w:id="2" w:name="_GoBack"/>
            <w:bookmarkEnd w:id="2"/>
            <w:r>
              <w:rPr>
                <w:rFonts w:hint="eastAsia" w:ascii="宋体" w:hAnsi="宋体"/>
                <w:szCs w:val="21"/>
              </w:rPr>
              <w:t xml:space="preserve">  总经理：徐明君  陶美延 </w:t>
            </w:r>
            <w:r>
              <w:rPr>
                <w:rFonts w:hint="eastAsia" w:ascii="宋体" w:hAnsi="宋体"/>
                <w:sz w:val="21"/>
                <w:szCs w:val="21"/>
                <w:lang w:val="en-US" w:eastAsia="zh-CN"/>
              </w:rPr>
              <w:t xml:space="preserve">  </w:t>
            </w:r>
            <w:r>
              <w:rPr>
                <w:rFonts w:hint="eastAsia"/>
                <w:b w:val="0"/>
                <w:bCs w:val="0"/>
                <w:sz w:val="21"/>
                <w:szCs w:val="21"/>
              </w:rPr>
              <w:t>盛明</w:t>
            </w:r>
            <w:r>
              <w:rPr>
                <w:rFonts w:hint="eastAsia"/>
                <w:b w:val="0"/>
                <w:bCs w:val="0"/>
                <w:sz w:val="21"/>
                <w:szCs w:val="21"/>
                <w:lang w:val="en-US" w:eastAsia="zh-CN"/>
              </w:rPr>
              <w:t>羊</w:t>
            </w:r>
            <w:r>
              <w:rPr>
                <w:rFonts w:hint="eastAsia"/>
                <w:b w:val="0"/>
                <w:bCs w:val="0"/>
                <w:sz w:val="21"/>
                <w:szCs w:val="21"/>
              </w:rPr>
              <w:t xml:space="preserve"> </w:t>
            </w:r>
            <w:r>
              <w:rPr>
                <w:rFonts w:hint="eastAsia"/>
                <w:b w:val="0"/>
                <w:bCs w:val="0"/>
                <w:sz w:val="24"/>
                <w:szCs w:val="24"/>
                <w:lang w:val="en-US" w:eastAsia="zh-CN"/>
              </w:rPr>
              <w:t xml:space="preserve"> </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陪同人员：</w:t>
            </w:r>
            <w:r>
              <w:rPr>
                <w:rFonts w:hint="eastAsia" w:asciiTheme="minorEastAsia" w:hAnsiTheme="minorEastAsia" w:eastAsiaTheme="minorEastAsia"/>
                <w:szCs w:val="21"/>
              </w:rPr>
              <w:t>华子豪</w:t>
            </w:r>
          </w:p>
        </w:tc>
        <w:tc>
          <w:tcPr>
            <w:tcW w:w="709" w:type="dxa"/>
            <w:vMerge w:val="restart"/>
            <w:vAlign w:val="center"/>
          </w:tcPr>
          <w:p>
            <w:pPr>
              <w:rPr>
                <w:rFonts w:ascii="宋体" w:hAnsi="宋体"/>
                <w:szCs w:val="21"/>
              </w:rPr>
            </w:pPr>
            <w:r>
              <w:rPr>
                <w:rFonts w:hint="eastAsia" w:ascii="宋体" w:hAnsi="宋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42" w:type="dxa"/>
            <w:vMerge w:val="continue"/>
            <w:vAlign w:val="center"/>
          </w:tcPr>
          <w:p>
            <w:pPr>
              <w:rPr>
                <w:rFonts w:ascii="宋体" w:hAnsi="宋体"/>
                <w:szCs w:val="21"/>
              </w:rPr>
            </w:pPr>
          </w:p>
        </w:tc>
        <w:tc>
          <w:tcPr>
            <w:tcW w:w="1134" w:type="dxa"/>
            <w:vMerge w:val="continue"/>
            <w:vAlign w:val="center"/>
          </w:tcPr>
          <w:p>
            <w:pPr>
              <w:rPr>
                <w:rFonts w:ascii="宋体" w:hAnsi="宋体"/>
                <w:szCs w:val="21"/>
              </w:rPr>
            </w:pPr>
          </w:p>
        </w:tc>
        <w:tc>
          <w:tcPr>
            <w:tcW w:w="11624" w:type="dxa"/>
            <w:vAlign w:val="center"/>
          </w:tcPr>
          <w:p>
            <w:pPr>
              <w:spacing w:before="120"/>
              <w:rPr>
                <w:rFonts w:ascii="宋体" w:hAnsi="宋体"/>
                <w:szCs w:val="21"/>
              </w:rPr>
            </w:pPr>
            <w:r>
              <w:rPr>
                <w:rFonts w:hint="eastAsia" w:ascii="宋体" w:hAnsi="宋体"/>
                <w:szCs w:val="21"/>
              </w:rPr>
              <w:t>审核员：</w:t>
            </w:r>
            <w:r>
              <w:rPr>
                <w:rFonts w:hint="eastAsia" w:ascii="宋体" w:hAnsi="宋体"/>
                <w:szCs w:val="21"/>
                <w:lang w:val="en-US" w:eastAsia="zh-CN"/>
              </w:rPr>
              <w:t>李凤仪</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审核时间：20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10</w:t>
            </w:r>
            <w:r>
              <w:rPr>
                <w:rFonts w:hint="eastAsia" w:ascii="宋体" w:hAnsi="宋体"/>
                <w:szCs w:val="21"/>
              </w:rPr>
              <w:t>月</w:t>
            </w:r>
            <w:r>
              <w:rPr>
                <w:rFonts w:hint="eastAsia" w:ascii="宋体" w:hAnsi="宋体"/>
                <w:szCs w:val="21"/>
                <w:lang w:val="en-US" w:eastAsia="zh-CN"/>
              </w:rPr>
              <w:t>10</w:t>
            </w:r>
            <w:r>
              <w:rPr>
                <w:rFonts w:hint="eastAsia" w:ascii="宋体" w:hAnsi="宋体"/>
                <w:szCs w:val="21"/>
              </w:rPr>
              <w:t>日</w:t>
            </w:r>
          </w:p>
        </w:tc>
        <w:tc>
          <w:tcPr>
            <w:tcW w:w="709" w:type="dxa"/>
            <w:vMerge w:val="continue"/>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242" w:type="dxa"/>
            <w:vMerge w:val="continue"/>
            <w:vAlign w:val="center"/>
          </w:tcPr>
          <w:p>
            <w:pPr>
              <w:rPr>
                <w:rFonts w:ascii="宋体" w:hAnsi="宋体"/>
                <w:szCs w:val="21"/>
              </w:rPr>
            </w:pPr>
          </w:p>
        </w:tc>
        <w:tc>
          <w:tcPr>
            <w:tcW w:w="1134" w:type="dxa"/>
            <w:vMerge w:val="continue"/>
            <w:vAlign w:val="center"/>
          </w:tcPr>
          <w:p>
            <w:pPr>
              <w:rPr>
                <w:rFonts w:ascii="宋体" w:hAnsi="宋体"/>
                <w:szCs w:val="21"/>
              </w:rPr>
            </w:pPr>
          </w:p>
        </w:tc>
        <w:tc>
          <w:tcPr>
            <w:tcW w:w="11624" w:type="dxa"/>
            <w:vAlign w:val="center"/>
          </w:tcPr>
          <w:p>
            <w:pPr>
              <w:spacing w:line="300" w:lineRule="exact"/>
              <w:rPr>
                <w:rFonts w:ascii="宋体" w:hAnsi="宋体"/>
                <w:b/>
                <w:bCs/>
                <w:sz w:val="18"/>
                <w:szCs w:val="18"/>
              </w:rPr>
            </w:pPr>
            <w:r>
              <w:rPr>
                <w:rFonts w:hint="eastAsia" w:ascii="宋体" w:hAnsi="宋体"/>
                <w:szCs w:val="21"/>
              </w:rPr>
              <w:t>审核条款：</w:t>
            </w:r>
            <w:r>
              <w:rPr>
                <w:rFonts w:hint="eastAsia" w:ascii="宋体" w:hAnsi="宋体"/>
                <w:b/>
                <w:bCs/>
                <w:sz w:val="18"/>
                <w:szCs w:val="18"/>
              </w:rPr>
              <w:t>Q/(J)：Q:4.1/4.2/4.3/4.4/（3.1、3.3）5.1（4.3）/5.2（3.2）/5.3（4.3）/6.1（12.3-5）/6.2（3.2）/6.3（3.4）/7.1.1(3.4)/9.1.1（3.4.2、11.1.1、11.2、12.1、12.2.1-2）/9.3（12.4）/10.1(12.1)/10.3（12.5）</w:t>
            </w:r>
          </w:p>
          <w:p>
            <w:pPr>
              <w:spacing w:line="300" w:lineRule="exact"/>
              <w:rPr>
                <w:rFonts w:ascii="宋体" w:hAnsi="宋体"/>
                <w:b/>
                <w:bCs/>
                <w:sz w:val="18"/>
                <w:szCs w:val="18"/>
              </w:rPr>
            </w:pPr>
            <w:r>
              <w:rPr>
                <w:rFonts w:ascii="宋体" w:hAnsi="宋体"/>
                <w:b/>
                <w:bCs/>
                <w:sz w:val="18"/>
                <w:szCs w:val="18"/>
              </w:rPr>
              <w:t xml:space="preserve">E4.1/4.2/4.3/4.4/5.1/5.2/6.1.1/6.1.4/7.1/9.1.1/9.3/10.1/10.3 </w:t>
            </w:r>
          </w:p>
          <w:p>
            <w:pPr>
              <w:spacing w:line="300" w:lineRule="exact"/>
              <w:rPr>
                <w:rFonts w:ascii="宋体" w:hAnsi="宋体"/>
                <w:b/>
                <w:bCs/>
                <w:sz w:val="18"/>
                <w:szCs w:val="18"/>
              </w:rPr>
            </w:pPr>
            <w:r>
              <w:rPr>
                <w:rFonts w:ascii="宋体" w:hAnsi="宋体"/>
                <w:b/>
                <w:bCs/>
                <w:sz w:val="18"/>
                <w:szCs w:val="18"/>
              </w:rPr>
              <w:t xml:space="preserve">O4.1/4.2/4.3/4.4/5.1/5.2/5.3/6.1.1/6.1.4/6.2/7.1/9.1.1/9.3/10.1/10.3 </w:t>
            </w:r>
          </w:p>
          <w:p>
            <w:pPr>
              <w:spacing w:line="300" w:lineRule="exact"/>
              <w:jc w:val="left"/>
              <w:rPr>
                <w:rFonts w:ascii="宋体" w:hAnsi="宋体"/>
                <w:szCs w:val="21"/>
              </w:rPr>
            </w:pPr>
            <w:r>
              <w:rPr>
                <w:rFonts w:hint="eastAsia" w:ascii="宋体" w:hAnsi="宋体"/>
                <w:b/>
                <w:sz w:val="18"/>
                <w:szCs w:val="18"/>
              </w:rPr>
              <w:t>资质验证/范围再确认/标准/规范/法规的执行情况、上次审核不符合项的验证、认证证书、标志的使用情况、投诉或事故、监督抽查情况、体系变动</w:t>
            </w:r>
          </w:p>
        </w:tc>
        <w:tc>
          <w:tcPr>
            <w:tcW w:w="709" w:type="dxa"/>
            <w:vMerge w:val="continue"/>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242" w:type="dxa"/>
          </w:tcPr>
          <w:p>
            <w:pPr>
              <w:spacing w:line="280" w:lineRule="exact"/>
              <w:rPr>
                <w:rFonts w:ascii="宋体" w:cs="宋体"/>
                <w:szCs w:val="21"/>
              </w:rPr>
            </w:pPr>
            <w:r>
              <w:rPr>
                <w:rFonts w:hint="eastAsia" w:ascii="宋体" w:hAnsi="宋体" w:cs="宋体"/>
                <w:szCs w:val="21"/>
              </w:rPr>
              <w:t>理解组织及其环境</w:t>
            </w:r>
          </w:p>
          <w:p>
            <w:pPr>
              <w:spacing w:line="280" w:lineRule="exact"/>
              <w:rPr>
                <w:rFonts w:ascii="宋体" w:cs="宋体"/>
                <w:szCs w:val="21"/>
              </w:rPr>
            </w:pPr>
            <w:r>
              <w:rPr>
                <w:rFonts w:hint="eastAsia" w:ascii="宋体" w:hAnsi="宋体" w:cs="宋体"/>
                <w:szCs w:val="21"/>
              </w:rPr>
              <w:t>总要求</w:t>
            </w:r>
          </w:p>
          <w:p>
            <w:pPr>
              <w:spacing w:line="280" w:lineRule="exact"/>
              <w:rPr>
                <w:rFonts w:ascii="宋体" w:cs="宋体"/>
                <w:szCs w:val="21"/>
              </w:rPr>
            </w:pPr>
          </w:p>
        </w:tc>
        <w:tc>
          <w:tcPr>
            <w:tcW w:w="1134" w:type="dxa"/>
          </w:tcPr>
          <w:p>
            <w:pPr>
              <w:spacing w:line="280" w:lineRule="exact"/>
              <w:jc w:val="left"/>
              <w:rPr>
                <w:rFonts w:ascii="宋体" w:hAnsi="宋体" w:cs="宋体"/>
                <w:szCs w:val="21"/>
              </w:rPr>
            </w:pPr>
            <w:r>
              <w:rPr>
                <w:rFonts w:hint="eastAsia" w:ascii="宋体" w:hAnsi="宋体" w:cs="宋体"/>
                <w:szCs w:val="21"/>
              </w:rPr>
              <w:t>QEO4.1</w:t>
            </w:r>
          </w:p>
          <w:p>
            <w:pPr>
              <w:spacing w:line="280" w:lineRule="exact"/>
              <w:jc w:val="left"/>
              <w:rPr>
                <w:rFonts w:ascii="宋体" w:hAnsi="宋体" w:cs="宋体"/>
                <w:szCs w:val="21"/>
              </w:rPr>
            </w:pPr>
            <w:r>
              <w:rPr>
                <w:rFonts w:hint="eastAsia" w:ascii="宋体" w:hAnsi="宋体" w:cs="宋体"/>
                <w:szCs w:val="21"/>
              </w:rPr>
              <w:t>J</w:t>
            </w:r>
            <w:r>
              <w:rPr>
                <w:rFonts w:hint="eastAsia" w:ascii="宋体" w:hAnsi="宋体"/>
                <w:bCs/>
                <w:szCs w:val="21"/>
              </w:rPr>
              <w:t>3.1/3.3</w:t>
            </w:r>
          </w:p>
        </w:tc>
        <w:tc>
          <w:tcPr>
            <w:tcW w:w="11624" w:type="dxa"/>
            <w:vAlign w:val="center"/>
          </w:tcPr>
          <w:p>
            <w:pPr>
              <w:spacing w:line="360" w:lineRule="auto"/>
              <w:ind w:firstLine="420" w:firstLineChars="200"/>
              <w:rPr>
                <w:rFonts w:ascii="宋体" w:hAnsi="宋体" w:cs="宋体"/>
                <w:szCs w:val="21"/>
              </w:rPr>
            </w:pPr>
            <w:r>
              <w:rPr>
                <w:rFonts w:hint="eastAsia" w:ascii="宋体" w:hAnsi="宋体" w:cs="宋体"/>
                <w:szCs w:val="21"/>
              </w:rPr>
              <w:t>四川锦华泰建设工程有限公司成立于2017年3月，注册资金5888.88万元，公司</w:t>
            </w:r>
            <w:bookmarkStart w:id="0" w:name="生产地址"/>
            <w:r>
              <w:rPr>
                <w:rFonts w:hint="eastAsia" w:ascii="宋体" w:hAnsi="宋体" w:cs="宋体"/>
                <w:szCs w:val="21"/>
                <w:lang w:val="en-US" w:eastAsia="zh-CN"/>
              </w:rPr>
              <w:t>位于</w:t>
            </w:r>
            <w:r>
              <w:rPr>
                <w:rFonts w:ascii="宋体" w:hAnsi="宋体"/>
                <w:szCs w:val="21"/>
              </w:rPr>
              <w:t>成都市成华区崔家店蓝光东方天地7栋624</w:t>
            </w:r>
            <w:bookmarkEnd w:id="0"/>
            <w:r>
              <w:rPr>
                <w:rFonts w:hint="eastAsia" w:ascii="宋体" w:hAnsi="宋体"/>
                <w:szCs w:val="21"/>
                <w:lang w:val="en-US" w:eastAsia="zh-CN"/>
              </w:rPr>
              <w:t>号</w:t>
            </w:r>
            <w:r>
              <w:rPr>
                <w:rFonts w:hint="eastAsia" w:ascii="宋体" w:hAnsi="宋体" w:cs="宋体"/>
                <w:szCs w:val="21"/>
              </w:rPr>
              <w:t>。公司专业从事建筑智能化、信息化、机电一体化、市政及环保等的工程建设。</w:t>
            </w:r>
          </w:p>
          <w:p>
            <w:pPr>
              <w:spacing w:line="360" w:lineRule="auto"/>
              <w:ind w:firstLine="420" w:firstLineChars="200"/>
              <w:rPr>
                <w:rFonts w:ascii="宋体" w:hAnsi="宋体" w:cs="宋体"/>
                <w:szCs w:val="21"/>
              </w:rPr>
            </w:pPr>
            <w:r>
              <w:rPr>
                <w:rFonts w:hint="eastAsia" w:ascii="宋体" w:hAnsi="宋体" w:cs="宋体"/>
                <w:szCs w:val="21"/>
              </w:rPr>
              <w:t>查四川锦华泰建设工程有限公司营业执照经营范围：建筑工程施工；市政公用工程施工；公路工程施工；水利水电工程施工；通信工程施工；电力工程施工；机电工程施工；隧道工程施工；桥梁工程施工；建筑幕墙工程施工；防水防腐保温工程施工；电子与智能化工程施工等。</w:t>
            </w:r>
          </w:p>
          <w:p>
            <w:pPr>
              <w:spacing w:line="360" w:lineRule="auto"/>
              <w:ind w:firstLine="420" w:firstLineChars="200"/>
              <w:rPr>
                <w:rFonts w:ascii="宋体" w:cs="宋体"/>
                <w:szCs w:val="21"/>
              </w:rPr>
            </w:pPr>
            <w:r>
              <w:rPr>
                <w:rFonts w:hint="eastAsia" w:ascii="宋体" w:hAnsi="宋体" w:cs="宋体"/>
                <w:szCs w:val="21"/>
              </w:rPr>
              <w:t>总经理介绍：为了提高公司整体的市场竞争力和准入能力，现着力推行管理体系。总经理确定与本公司管理目标和战略方向相关并影响实现管理体系预期结果的各种内部因素，包括了需要考虑的正面和负面因素或条件。</w:t>
            </w:r>
          </w:p>
          <w:p>
            <w:pPr>
              <w:spacing w:line="360" w:lineRule="auto"/>
              <w:ind w:firstLine="420" w:firstLineChars="200"/>
              <w:rPr>
                <w:rFonts w:ascii="宋体" w:cs="宋体"/>
                <w:szCs w:val="21"/>
              </w:rPr>
            </w:pPr>
            <w:r>
              <w:rPr>
                <w:rFonts w:hint="eastAsia" w:ascii="宋体" w:hAnsi="宋体" w:cs="宋体"/>
                <w:szCs w:val="21"/>
              </w:rPr>
              <w:t>公司每年根据由公司销售人员从市场、客户、网络等搜集到的信息并结合公司自身业务运作情况进行分析，通过分析对这些内部和外部因素的相关信息进行监视和评审以确保其充分和适宜。</w:t>
            </w:r>
          </w:p>
        </w:tc>
        <w:tc>
          <w:tcPr>
            <w:tcW w:w="709"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42" w:type="dxa"/>
            <w:vAlign w:val="center"/>
          </w:tcPr>
          <w:p>
            <w:pPr>
              <w:rPr>
                <w:rFonts w:ascii="宋体" w:cs="宋体"/>
                <w:szCs w:val="21"/>
              </w:rPr>
            </w:pPr>
            <w:r>
              <w:rPr>
                <w:rFonts w:hint="eastAsia" w:ascii="宋体" w:hAnsi="宋体" w:cs="宋体"/>
                <w:szCs w:val="21"/>
              </w:rPr>
              <w:t>理解相关方的需求和期望</w:t>
            </w:r>
          </w:p>
        </w:tc>
        <w:tc>
          <w:tcPr>
            <w:tcW w:w="1134" w:type="dxa"/>
            <w:vAlign w:val="center"/>
          </w:tcPr>
          <w:p>
            <w:pPr>
              <w:rPr>
                <w:rFonts w:ascii="宋体" w:hAnsi="宋体" w:cs="宋体"/>
                <w:szCs w:val="21"/>
              </w:rPr>
            </w:pPr>
            <w:r>
              <w:rPr>
                <w:rFonts w:hint="eastAsia" w:ascii="宋体" w:hAnsi="宋体" w:cs="宋体"/>
                <w:szCs w:val="21"/>
              </w:rPr>
              <w:t>QEO4.2</w:t>
            </w:r>
          </w:p>
          <w:p>
            <w:pPr>
              <w:rPr>
                <w:rFonts w:ascii="宋体" w:hAnsi="宋体" w:cs="宋体"/>
                <w:szCs w:val="21"/>
              </w:rPr>
            </w:pPr>
            <w:r>
              <w:rPr>
                <w:rFonts w:hint="eastAsia" w:ascii="宋体" w:hAnsi="宋体" w:cs="宋体"/>
                <w:szCs w:val="21"/>
              </w:rPr>
              <w:t>J</w:t>
            </w:r>
            <w:r>
              <w:rPr>
                <w:rFonts w:hint="eastAsia" w:ascii="宋体" w:hAnsi="宋体"/>
                <w:bCs/>
                <w:szCs w:val="21"/>
              </w:rPr>
              <w:t>3.1/3.3</w:t>
            </w:r>
          </w:p>
        </w:tc>
        <w:tc>
          <w:tcPr>
            <w:tcW w:w="11624" w:type="dxa"/>
            <w:vAlign w:val="center"/>
          </w:tcPr>
          <w:p>
            <w:pPr>
              <w:ind w:firstLine="420" w:firstLineChars="200"/>
              <w:rPr>
                <w:rFonts w:ascii="宋体" w:hAnsi="宋体" w:cs="宋体"/>
                <w:szCs w:val="21"/>
              </w:rPr>
            </w:pPr>
            <w:r>
              <w:rPr>
                <w:rFonts w:hint="eastAsia" w:ascii="宋体" w:hAnsi="宋体" w:cs="宋体"/>
                <w:szCs w:val="21"/>
              </w:rPr>
              <w:t>在公司运营过程中充分考虑相关方方面的期望或要求，已识别公司的相关方涉及顾客（甲方）、供方、最终用户、业主、股东、银行、外部供应商、员工、法律法规监管机构等。</w:t>
            </w:r>
          </w:p>
          <w:p>
            <w:pPr>
              <w:ind w:firstLine="420" w:firstLineChars="200"/>
              <w:rPr>
                <w:rFonts w:ascii="宋体" w:hAnsi="宋体" w:cs="宋体"/>
                <w:szCs w:val="21"/>
              </w:rPr>
            </w:pPr>
            <w:r>
              <w:rPr>
                <w:rFonts w:hint="eastAsia" w:ascii="宋体" w:hAnsi="宋体" w:cs="宋体"/>
                <w:szCs w:val="21"/>
              </w:rPr>
              <w:t>商务部、工程部等部门通过日常例会、市场活动、现场拜访、客户回访调查等多种渠道和方式方法随时了解相关方的需求和期望。做为公司经营风险分析和发展机遇的可利用资源。</w:t>
            </w:r>
          </w:p>
          <w:p>
            <w:pPr>
              <w:ind w:firstLine="420" w:firstLineChars="200"/>
              <w:rPr>
                <w:rFonts w:ascii="宋体" w:hAnsi="宋体" w:cs="宋体"/>
                <w:szCs w:val="21"/>
              </w:rPr>
            </w:pPr>
            <w:r>
              <w:rPr>
                <w:rFonts w:hint="eastAsia" w:ascii="宋体" w:hAnsi="宋体" w:cs="宋体"/>
                <w:szCs w:val="21"/>
              </w:rPr>
              <w:t>与公司高管交流，内外部相关方需求分析到位。口头交流。</w:t>
            </w:r>
          </w:p>
          <w:p>
            <w:pPr>
              <w:ind w:firstLine="420" w:firstLineChars="200"/>
              <w:rPr>
                <w:rFonts w:ascii="宋体" w:cs="宋体"/>
                <w:szCs w:val="21"/>
              </w:rPr>
            </w:pPr>
            <w:r>
              <w:rPr>
                <w:rFonts w:hint="eastAsia" w:ascii="宋体" w:hAnsi="宋体" w:cs="宋体"/>
                <w:szCs w:val="21"/>
              </w:rPr>
              <w:t>公司收集了相关方的需求和期望，组织通过合同评审、合规性评价、管理评审、顾客满意调查、社会认知度等形式对相关方的需求和期望进行监视和评审。</w:t>
            </w:r>
          </w:p>
        </w:tc>
        <w:tc>
          <w:tcPr>
            <w:tcW w:w="709"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42" w:type="dxa"/>
            <w:vAlign w:val="center"/>
          </w:tcPr>
          <w:p>
            <w:pPr>
              <w:rPr>
                <w:rFonts w:ascii="宋体" w:cs="宋体"/>
                <w:szCs w:val="21"/>
              </w:rPr>
            </w:pPr>
            <w:r>
              <w:rPr>
                <w:rFonts w:hint="eastAsia" w:ascii="宋体" w:hAnsi="宋体" w:cs="宋体"/>
                <w:szCs w:val="21"/>
              </w:rPr>
              <w:t>确定量管理体系的范围</w:t>
            </w:r>
          </w:p>
          <w:p>
            <w:pPr>
              <w:rPr>
                <w:rFonts w:ascii="宋体" w:cs="宋体"/>
                <w:szCs w:val="21"/>
              </w:rPr>
            </w:pPr>
            <w:r>
              <w:rPr>
                <w:rFonts w:hint="eastAsia" w:ascii="宋体" w:hAnsi="宋体" w:cs="宋体"/>
                <w:szCs w:val="21"/>
              </w:rPr>
              <w:t>总要求</w:t>
            </w:r>
          </w:p>
        </w:tc>
        <w:tc>
          <w:tcPr>
            <w:tcW w:w="1134" w:type="dxa"/>
            <w:vAlign w:val="center"/>
          </w:tcPr>
          <w:p>
            <w:pPr>
              <w:rPr>
                <w:rFonts w:ascii="宋体" w:hAnsi="宋体" w:cs="宋体"/>
                <w:szCs w:val="21"/>
              </w:rPr>
            </w:pPr>
            <w:r>
              <w:rPr>
                <w:rFonts w:hint="eastAsia" w:ascii="宋体" w:hAnsi="宋体" w:cs="宋体"/>
                <w:szCs w:val="21"/>
              </w:rPr>
              <w:t>QEO4.3</w:t>
            </w:r>
          </w:p>
          <w:p>
            <w:pPr>
              <w:rPr>
                <w:rFonts w:ascii="宋体" w:hAnsi="宋体" w:cs="宋体"/>
                <w:szCs w:val="21"/>
              </w:rPr>
            </w:pPr>
            <w:r>
              <w:rPr>
                <w:rFonts w:hint="eastAsia" w:ascii="宋体" w:hAnsi="宋体" w:cs="宋体"/>
                <w:szCs w:val="21"/>
              </w:rPr>
              <w:t>J</w:t>
            </w:r>
            <w:r>
              <w:rPr>
                <w:rFonts w:hint="eastAsia" w:ascii="宋体" w:hAnsi="宋体"/>
                <w:bCs/>
                <w:szCs w:val="21"/>
              </w:rPr>
              <w:t>3.1/3.3</w:t>
            </w:r>
          </w:p>
        </w:tc>
        <w:tc>
          <w:tcPr>
            <w:tcW w:w="11624" w:type="dxa"/>
            <w:vAlign w:val="center"/>
          </w:tcPr>
          <w:p>
            <w:pPr>
              <w:ind w:firstLine="420" w:firstLineChars="200"/>
              <w:rPr>
                <w:rFonts w:ascii="宋体" w:hAnsi="宋体" w:cs="宋体"/>
                <w:szCs w:val="21"/>
              </w:rPr>
            </w:pPr>
            <w:r>
              <w:rPr>
                <w:rFonts w:hint="eastAsia" w:ascii="宋体" w:hAnsi="宋体" w:cs="宋体"/>
                <w:szCs w:val="21"/>
              </w:rPr>
              <w:t>公司管理体系范围：</w:t>
            </w:r>
          </w:p>
          <w:p>
            <w:pPr>
              <w:rPr>
                <w:rFonts w:ascii="宋体" w:hAnsi="宋体" w:cs="宋体"/>
                <w:szCs w:val="21"/>
              </w:rPr>
            </w:pPr>
            <w:bookmarkStart w:id="1" w:name="审核范围"/>
            <w:r>
              <w:rPr>
                <w:rFonts w:ascii="宋体" w:hAnsi="宋体" w:cs="宋体"/>
                <w:szCs w:val="21"/>
              </w:rPr>
              <w:t>EC：资质范围内的建筑工程施工总承包，市政公用工程施工总承包，建筑机电安装工程专业承包，电子与智能化工程专业承包</w:t>
            </w:r>
          </w:p>
          <w:p>
            <w:pPr>
              <w:rPr>
                <w:rFonts w:ascii="宋体" w:hAnsi="宋体" w:cs="宋体"/>
                <w:szCs w:val="21"/>
              </w:rPr>
            </w:pPr>
            <w:r>
              <w:rPr>
                <w:rFonts w:ascii="宋体" w:hAnsi="宋体" w:cs="宋体"/>
                <w:szCs w:val="21"/>
              </w:rPr>
              <w:t>E：资质范围内的建筑工程施工总承包，市政公用工程施工总承包，建筑机电安装工程专业承包，电子与智能化工程专业承包及相关环境管理活动</w:t>
            </w:r>
          </w:p>
          <w:p>
            <w:pPr>
              <w:rPr>
                <w:rFonts w:ascii="宋体" w:hAnsi="宋体" w:cs="宋体"/>
                <w:szCs w:val="21"/>
              </w:rPr>
            </w:pPr>
            <w:r>
              <w:rPr>
                <w:rFonts w:ascii="宋体" w:hAnsi="宋体" w:cs="宋体"/>
                <w:szCs w:val="21"/>
              </w:rPr>
              <w:t>O：资质范围内的建筑工程施工总承包，市政公用工程施工总承包，建筑机电安装工程专业承包，电子与智能化工程专业承包及相关职业健康安全管理活动</w:t>
            </w:r>
            <w:bookmarkEnd w:id="1"/>
          </w:p>
          <w:p>
            <w:pPr>
              <w:ind w:firstLine="420" w:firstLineChars="200"/>
              <w:rPr>
                <w:rFonts w:ascii="宋体" w:hAnsi="宋体" w:cs="宋体"/>
                <w:szCs w:val="21"/>
              </w:rPr>
            </w:pPr>
            <w:r>
              <w:rPr>
                <w:rFonts w:hint="eastAsia" w:ascii="宋体" w:hAnsi="宋体" w:cs="宋体"/>
                <w:szCs w:val="21"/>
              </w:rPr>
              <w:t>经现场确认</w:t>
            </w:r>
            <w:r>
              <w:rPr>
                <w:rFonts w:hint="eastAsia" w:ascii="宋体" w:hAnsi="宋体" w:cs="宋体"/>
                <w:szCs w:val="21"/>
                <w:lang w:val="en-US" w:eastAsia="zh-CN"/>
              </w:rPr>
              <w:t>公司外包为</w:t>
            </w:r>
            <w:r>
              <w:rPr>
                <w:rFonts w:hint="eastAsia" w:ascii="宋体" w:hAnsi="宋体" w:cs="宋体"/>
                <w:szCs w:val="21"/>
              </w:rPr>
              <w:t>：劳务分包、机械设备租赁</w:t>
            </w:r>
          </w:p>
          <w:p>
            <w:pPr>
              <w:ind w:firstLine="420" w:firstLineChars="200"/>
              <w:rPr>
                <w:rFonts w:ascii="宋体" w:cs="宋体"/>
                <w:szCs w:val="21"/>
              </w:rPr>
            </w:pPr>
            <w:r>
              <w:rPr>
                <w:rFonts w:hint="eastAsia" w:ascii="宋体" w:hAnsi="宋体" w:cs="宋体"/>
                <w:szCs w:val="21"/>
              </w:rPr>
              <w:t>该公司</w:t>
            </w:r>
            <w:r>
              <w:rPr>
                <w:rFonts w:ascii="宋体" w:hAnsi="宋体" w:cs="宋体"/>
                <w:szCs w:val="21"/>
              </w:rPr>
              <w:t>根据公司工程实现过程的实际，依据顾客提供的工程施工图纸</w:t>
            </w:r>
            <w:r>
              <w:rPr>
                <w:rFonts w:hint="eastAsia" w:ascii="宋体" w:hAnsi="宋体" w:cs="宋体"/>
                <w:szCs w:val="21"/>
              </w:rPr>
              <w:t>进行施工</w:t>
            </w:r>
            <w:r>
              <w:rPr>
                <w:rFonts w:ascii="宋体" w:hAnsi="宋体" w:cs="宋体"/>
                <w:szCs w:val="21"/>
              </w:rPr>
              <w:t>，不存在设计和开发过程</w:t>
            </w:r>
            <w:r>
              <w:rPr>
                <w:rFonts w:hint="eastAsia" w:ascii="宋体" w:hAnsi="宋体" w:cs="宋体"/>
                <w:szCs w:val="21"/>
              </w:rPr>
              <w:t>，所以对GB/T19001-2016标准8.3条款不适用，GB/T50430-2017标准10.3条款予以删减。</w:t>
            </w:r>
          </w:p>
        </w:tc>
        <w:tc>
          <w:tcPr>
            <w:tcW w:w="709"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42" w:type="dxa"/>
            <w:vAlign w:val="center"/>
          </w:tcPr>
          <w:p>
            <w:pPr>
              <w:rPr>
                <w:rFonts w:ascii="宋体" w:cs="宋体"/>
                <w:szCs w:val="21"/>
              </w:rPr>
            </w:pPr>
            <w:r>
              <w:rPr>
                <w:rFonts w:hint="eastAsia" w:ascii="宋体" w:hAnsi="宋体" w:cs="宋体"/>
                <w:szCs w:val="21"/>
              </w:rPr>
              <w:t>管理体系及其过程</w:t>
            </w:r>
          </w:p>
          <w:p>
            <w:pPr>
              <w:rPr>
                <w:rFonts w:ascii="宋体" w:cs="宋体"/>
                <w:szCs w:val="21"/>
              </w:rPr>
            </w:pPr>
          </w:p>
        </w:tc>
        <w:tc>
          <w:tcPr>
            <w:tcW w:w="1134" w:type="dxa"/>
            <w:vAlign w:val="center"/>
          </w:tcPr>
          <w:p>
            <w:pPr>
              <w:rPr>
                <w:rFonts w:ascii="宋体" w:hAnsi="宋体" w:cs="宋体"/>
                <w:szCs w:val="21"/>
              </w:rPr>
            </w:pPr>
            <w:r>
              <w:rPr>
                <w:rFonts w:hint="eastAsia" w:ascii="宋体" w:hAnsi="宋体" w:cs="宋体"/>
                <w:szCs w:val="21"/>
              </w:rPr>
              <w:t>QEO4.4</w:t>
            </w:r>
          </w:p>
          <w:p>
            <w:pPr>
              <w:rPr>
                <w:rFonts w:ascii="宋体" w:hAnsi="宋体" w:cs="宋体"/>
                <w:szCs w:val="21"/>
              </w:rPr>
            </w:pPr>
            <w:r>
              <w:rPr>
                <w:rFonts w:hint="eastAsia" w:ascii="宋体" w:hAnsi="宋体" w:cs="宋体"/>
                <w:szCs w:val="21"/>
              </w:rPr>
              <w:t>J</w:t>
            </w:r>
            <w:r>
              <w:rPr>
                <w:rFonts w:hint="eastAsia" w:ascii="宋体" w:hAnsi="宋体"/>
                <w:bCs/>
                <w:szCs w:val="21"/>
              </w:rPr>
              <w:t>3.1/3.3</w:t>
            </w:r>
          </w:p>
        </w:tc>
        <w:tc>
          <w:tcPr>
            <w:tcW w:w="11624" w:type="dxa"/>
            <w:vAlign w:val="center"/>
          </w:tcPr>
          <w:p>
            <w:pPr>
              <w:ind w:firstLine="420" w:firstLineChars="200"/>
              <w:rPr>
                <w:rFonts w:ascii="宋体" w:cs="宋体"/>
                <w:szCs w:val="21"/>
              </w:rPr>
            </w:pPr>
            <w:r>
              <w:rPr>
                <w:rFonts w:hint="eastAsia" w:ascii="宋体" w:hAnsi="宋体" w:cs="宋体"/>
                <w:szCs w:val="21"/>
              </w:rPr>
              <w:t>组织于2019年1月10日建立并正式实施管理体系，编制了管理手册、作业文件和记录表格，制定了管理方针和管理目标。通过对过程监测结果进行分析，公司管理体系不断改进。</w:t>
            </w:r>
          </w:p>
          <w:p>
            <w:pPr>
              <w:ind w:firstLine="420" w:firstLineChars="200"/>
              <w:rPr>
                <w:rFonts w:ascii="宋体" w:hAnsi="宋体" w:cs="宋体"/>
                <w:szCs w:val="21"/>
              </w:rPr>
            </w:pPr>
            <w:r>
              <w:rPr>
                <w:rFonts w:hint="eastAsia" w:ascii="宋体" w:hAnsi="宋体" w:cs="宋体"/>
                <w:szCs w:val="21"/>
              </w:rPr>
              <w:t xml:space="preserve">确定了管理体系所需的过程，如文件与记录管理过程、合同评审过程、供销过程等，并明确各过程的目标和职责，及各过程之间的衔接和影响。 </w:t>
            </w:r>
          </w:p>
          <w:p>
            <w:pPr>
              <w:ind w:firstLine="420" w:firstLineChars="200"/>
              <w:rPr>
                <w:rFonts w:ascii="宋体" w:cs="宋体"/>
                <w:szCs w:val="21"/>
              </w:rPr>
            </w:pPr>
            <w:r>
              <w:rPr>
                <w:rFonts w:hint="eastAsia" w:ascii="宋体" w:hAnsi="宋体" w:cs="宋体"/>
                <w:szCs w:val="21"/>
              </w:rPr>
              <w:t>出示有“部门管理目标策划记录”对管理目标完成情况进行检查、统计、记录。</w:t>
            </w:r>
          </w:p>
          <w:p>
            <w:pPr>
              <w:ind w:firstLine="420" w:firstLineChars="200"/>
              <w:rPr>
                <w:rFonts w:ascii="宋体" w:cs="宋体"/>
                <w:szCs w:val="21"/>
              </w:rPr>
            </w:pPr>
            <w:r>
              <w:rPr>
                <w:rFonts w:hint="eastAsia" w:ascii="宋体" w:hAnsi="宋体" w:cs="宋体"/>
                <w:szCs w:val="21"/>
              </w:rPr>
              <w:t>提供了支持过程策划和运行的形成文件的信息。</w:t>
            </w:r>
          </w:p>
          <w:p>
            <w:pPr>
              <w:ind w:firstLine="420" w:firstLineChars="200"/>
              <w:rPr>
                <w:rFonts w:ascii="宋体" w:cs="宋体"/>
                <w:szCs w:val="21"/>
              </w:rPr>
            </w:pPr>
            <w:r>
              <w:rPr>
                <w:rFonts w:hint="eastAsia" w:ascii="宋体" w:hAnsi="宋体" w:cs="宋体"/>
                <w:szCs w:val="21"/>
              </w:rPr>
              <w:t>体系从建立至今运行良好，没有变化</w:t>
            </w:r>
          </w:p>
        </w:tc>
        <w:tc>
          <w:tcPr>
            <w:tcW w:w="709"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1242" w:type="dxa"/>
            <w:vAlign w:val="center"/>
          </w:tcPr>
          <w:p>
            <w:pPr>
              <w:rPr>
                <w:rFonts w:ascii="宋体" w:hAnsi="宋体" w:cs="宋体"/>
                <w:szCs w:val="21"/>
              </w:rPr>
            </w:pPr>
            <w:r>
              <w:rPr>
                <w:rFonts w:hint="eastAsia" w:ascii="宋体" w:hAnsi="宋体" w:cs="宋体"/>
                <w:szCs w:val="21"/>
              </w:rPr>
              <w:t>领导作用和承诺</w:t>
            </w:r>
          </w:p>
          <w:p>
            <w:pPr>
              <w:rPr>
                <w:rFonts w:ascii="宋体" w:hAnsi="宋体" w:cs="宋体"/>
                <w:szCs w:val="21"/>
              </w:rPr>
            </w:pPr>
          </w:p>
          <w:p>
            <w:pPr>
              <w:rPr>
                <w:rFonts w:ascii="宋体" w:hAnsi="宋体" w:cs="宋体"/>
                <w:szCs w:val="21"/>
              </w:rPr>
            </w:pPr>
          </w:p>
        </w:tc>
        <w:tc>
          <w:tcPr>
            <w:tcW w:w="1134" w:type="dxa"/>
            <w:vAlign w:val="center"/>
          </w:tcPr>
          <w:p>
            <w:pPr>
              <w:rPr>
                <w:rFonts w:ascii="宋体" w:hAnsi="宋体" w:cs="宋体"/>
                <w:szCs w:val="21"/>
              </w:rPr>
            </w:pPr>
            <w:r>
              <w:rPr>
                <w:rFonts w:hint="eastAsia" w:ascii="宋体" w:hAnsi="宋体" w:cs="宋体"/>
                <w:szCs w:val="21"/>
              </w:rPr>
              <w:t>QEO5.1</w:t>
            </w:r>
          </w:p>
          <w:p>
            <w:pPr>
              <w:rPr>
                <w:rFonts w:ascii="宋体" w:hAnsi="宋体" w:cs="宋体"/>
                <w:szCs w:val="21"/>
              </w:rPr>
            </w:pPr>
            <w:r>
              <w:rPr>
                <w:rFonts w:hint="eastAsia" w:ascii="宋体" w:hAnsi="宋体" w:cs="宋体"/>
                <w:szCs w:val="21"/>
              </w:rPr>
              <w:t>J</w:t>
            </w:r>
            <w:r>
              <w:rPr>
                <w:rFonts w:hint="eastAsia" w:ascii="宋体" w:hAnsi="宋体"/>
                <w:bCs/>
                <w:szCs w:val="21"/>
              </w:rPr>
              <w:t>4.3</w:t>
            </w:r>
          </w:p>
        </w:tc>
        <w:tc>
          <w:tcPr>
            <w:tcW w:w="11624" w:type="dxa"/>
            <w:vAlign w:val="center"/>
          </w:tcPr>
          <w:p>
            <w:pPr>
              <w:ind w:firstLine="420" w:firstLineChars="200"/>
              <w:rPr>
                <w:rFonts w:ascii="宋体" w:hAnsi="宋体" w:cs="宋体"/>
                <w:szCs w:val="21"/>
              </w:rPr>
            </w:pPr>
            <w:r>
              <w:rPr>
                <w:rFonts w:hint="eastAsia" w:ascii="宋体" w:hAnsi="宋体" w:cs="宋体"/>
                <w:szCs w:val="21"/>
              </w:rPr>
              <w:t>企业最高管理者对管理体系的领导作用和承诺主要通过以下方面体现：</w:t>
            </w:r>
          </w:p>
          <w:p>
            <w:pPr>
              <w:numPr>
                <w:ilvl w:val="0"/>
                <w:numId w:val="1"/>
              </w:numPr>
              <w:ind w:firstLine="420" w:firstLineChars="200"/>
              <w:rPr>
                <w:rFonts w:ascii="宋体" w:hAnsi="宋体" w:cs="宋体"/>
                <w:szCs w:val="21"/>
              </w:rPr>
            </w:pPr>
            <w:r>
              <w:rPr>
                <w:rFonts w:hint="eastAsia" w:ascii="宋体" w:hAnsi="宋体" w:cs="宋体"/>
                <w:szCs w:val="21"/>
              </w:rPr>
              <w:t>对管理体系运行的有效性负责；</w:t>
            </w:r>
          </w:p>
          <w:p>
            <w:pPr>
              <w:numPr>
                <w:ilvl w:val="0"/>
                <w:numId w:val="1"/>
              </w:numPr>
              <w:ind w:firstLine="420" w:firstLineChars="200"/>
              <w:rPr>
                <w:rFonts w:ascii="宋体" w:hAnsi="宋体" w:cs="宋体"/>
                <w:szCs w:val="21"/>
              </w:rPr>
            </w:pPr>
            <w:r>
              <w:rPr>
                <w:rFonts w:hint="eastAsia" w:ascii="宋体" w:hAnsi="宋体" w:cs="宋体"/>
                <w:szCs w:val="21"/>
              </w:rPr>
              <w:t>促进使用过程方法和基于风险的思维确保管理体系要求融入企业的业务过程；</w:t>
            </w:r>
          </w:p>
          <w:p>
            <w:pPr>
              <w:numPr>
                <w:ilvl w:val="0"/>
                <w:numId w:val="1"/>
              </w:numPr>
              <w:ind w:firstLine="420" w:firstLineChars="200"/>
              <w:rPr>
                <w:rFonts w:ascii="宋体" w:hAnsi="宋体" w:cs="宋体"/>
                <w:szCs w:val="21"/>
              </w:rPr>
            </w:pPr>
            <w:r>
              <w:rPr>
                <w:rFonts w:hint="eastAsia" w:ascii="宋体" w:hAnsi="宋体" w:cs="宋体"/>
                <w:szCs w:val="21"/>
              </w:rPr>
              <w:t>确保建立的管理体系与组织内外部环境、战略方向保持一致。为确保管理体系所需的资源（包括人力、设备、技术和信息等）确保管理体系实现期望的结果；督促人员积极参与、指导和支持员工为管理体系的有效性；</w:t>
            </w:r>
          </w:p>
          <w:p>
            <w:pPr>
              <w:numPr>
                <w:ilvl w:val="0"/>
                <w:numId w:val="1"/>
              </w:numPr>
              <w:ind w:firstLine="420" w:firstLineChars="200"/>
              <w:rPr>
                <w:rFonts w:ascii="宋体" w:hAnsi="宋体" w:cs="宋体"/>
                <w:szCs w:val="21"/>
              </w:rPr>
            </w:pPr>
            <w:r>
              <w:rPr>
                <w:rFonts w:hint="eastAsia" w:ascii="宋体" w:hAnsi="宋体" w:cs="宋体"/>
                <w:szCs w:val="21"/>
              </w:rPr>
              <w:t>支持相关管理者在其职责范围内发挥领导作用，推动改进等。领导作用和承诺充分明确，基本符合标准要求。</w:t>
            </w:r>
          </w:p>
          <w:p>
            <w:pPr>
              <w:ind w:firstLine="420" w:firstLineChars="200"/>
              <w:rPr>
                <w:rFonts w:ascii="宋体" w:hAnsi="宋体" w:cs="宋体"/>
                <w:szCs w:val="21"/>
              </w:rPr>
            </w:pPr>
            <w:r>
              <w:rPr>
                <w:rFonts w:hint="eastAsia" w:ascii="宋体" w:hAnsi="宋体" w:cs="宋体"/>
                <w:szCs w:val="21"/>
              </w:rPr>
              <w:t>企业最高管理者以顾客为关注焦点和承诺内部通过以下方面证实：满足顾客产品要求和相关方环境要求的重要性意识和理念，确定和理解并持续地顾客要求以及适用的法律法规要求；确定和应对风险和机遇，这些风险和机遇可能影响产品和服务合格以及增强顾客满意的能力；始终致力于增强顾客和相关方满意。</w:t>
            </w:r>
          </w:p>
        </w:tc>
        <w:tc>
          <w:tcPr>
            <w:tcW w:w="709"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1242" w:type="dxa"/>
            <w:vAlign w:val="center"/>
          </w:tcPr>
          <w:p>
            <w:pPr>
              <w:rPr>
                <w:rFonts w:ascii="宋体" w:hAnsi="宋体" w:cs="宋体"/>
                <w:szCs w:val="21"/>
              </w:rPr>
            </w:pPr>
            <w:r>
              <w:rPr>
                <w:rFonts w:hint="eastAsia" w:ascii="宋体" w:hAnsi="宋体" w:cs="宋体"/>
                <w:szCs w:val="21"/>
              </w:rPr>
              <w:t>以顾客为关注焦点</w:t>
            </w:r>
          </w:p>
        </w:tc>
        <w:tc>
          <w:tcPr>
            <w:tcW w:w="1134" w:type="dxa"/>
            <w:vAlign w:val="center"/>
          </w:tcPr>
          <w:p>
            <w:pPr>
              <w:rPr>
                <w:rFonts w:ascii="宋体" w:hAnsi="宋体" w:cs="宋体"/>
                <w:szCs w:val="21"/>
              </w:rPr>
            </w:pPr>
            <w:r>
              <w:rPr>
                <w:rFonts w:hint="eastAsia" w:ascii="宋体" w:hAnsi="宋体" w:cs="宋体"/>
                <w:szCs w:val="21"/>
              </w:rPr>
              <w:t>QE5.1.2</w:t>
            </w:r>
          </w:p>
          <w:p>
            <w:pPr>
              <w:rPr>
                <w:rFonts w:ascii="宋体" w:hAnsi="宋体" w:cs="宋体"/>
                <w:szCs w:val="21"/>
              </w:rPr>
            </w:pPr>
            <w:r>
              <w:rPr>
                <w:rFonts w:hint="eastAsia" w:ascii="宋体" w:hAnsi="宋体" w:cs="宋体"/>
                <w:szCs w:val="21"/>
              </w:rPr>
              <w:t>J</w:t>
            </w:r>
            <w:r>
              <w:rPr>
                <w:rFonts w:hint="eastAsia" w:ascii="宋体" w:hAnsi="宋体"/>
                <w:bCs/>
                <w:szCs w:val="21"/>
              </w:rPr>
              <w:t>4.3</w:t>
            </w:r>
          </w:p>
        </w:tc>
        <w:tc>
          <w:tcPr>
            <w:tcW w:w="11624" w:type="dxa"/>
            <w:vAlign w:val="center"/>
          </w:tcPr>
          <w:p>
            <w:pPr>
              <w:ind w:firstLine="420" w:firstLineChars="200"/>
              <w:rPr>
                <w:rFonts w:ascii="宋体" w:hAnsi="宋体" w:cs="宋体"/>
                <w:szCs w:val="21"/>
              </w:rPr>
            </w:pPr>
            <w:r>
              <w:rPr>
                <w:rFonts w:hint="eastAsia" w:ascii="宋体" w:hAnsi="宋体" w:cs="宋体"/>
                <w:szCs w:val="21"/>
              </w:rPr>
              <w:t>公司通过投标、市场调研等方式了解顾客的需求，确定他们关心的产品特性，特别是产品的关键特性。确定、理解并持续满足顾客要求以及适用的法律法规要求；确定和应对能够影响产品、服务符合性以及增强顾客满意能力的风险和机遇；</w:t>
            </w:r>
          </w:p>
          <w:p>
            <w:pPr>
              <w:ind w:firstLine="420" w:firstLineChars="200"/>
              <w:rPr>
                <w:rFonts w:ascii="宋体" w:hAnsi="宋体" w:cs="宋体"/>
                <w:szCs w:val="21"/>
              </w:rPr>
            </w:pPr>
            <w:r>
              <w:rPr>
                <w:rFonts w:hint="eastAsia" w:ascii="宋体" w:hAnsi="宋体" w:cs="宋体"/>
                <w:szCs w:val="21"/>
              </w:rPr>
              <w:t>在确定顾客（甲方、业主、最终用户）的需求和期望时，公司同时考虑与产品有关的义务（如安全的责任、环境保护要求等）和法律法规要求，并采取措施，使其得到落实。</w:t>
            </w:r>
          </w:p>
          <w:p>
            <w:pPr>
              <w:ind w:firstLine="420" w:firstLineChars="200"/>
              <w:rPr>
                <w:rFonts w:ascii="宋体" w:hAnsi="宋体" w:cs="宋体"/>
                <w:szCs w:val="21"/>
              </w:rPr>
            </w:pPr>
            <w:r>
              <w:rPr>
                <w:rFonts w:hint="eastAsia" w:ascii="宋体" w:hAnsi="宋体" w:cs="宋体"/>
                <w:szCs w:val="21"/>
              </w:rPr>
              <w:t>通过定期对顾客满意度进行测量、售后服务了解顾客对产品的意见，始终致力于增强顾客满意。</w:t>
            </w:r>
          </w:p>
        </w:tc>
        <w:tc>
          <w:tcPr>
            <w:tcW w:w="709"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42" w:type="dxa"/>
            <w:vAlign w:val="center"/>
          </w:tcPr>
          <w:p>
            <w:pPr>
              <w:rPr>
                <w:rFonts w:ascii="宋体" w:cs="宋体"/>
                <w:szCs w:val="21"/>
              </w:rPr>
            </w:pPr>
            <w:r>
              <w:rPr>
                <w:rFonts w:hint="eastAsia" w:ascii="宋体" w:hAnsi="宋体" w:cs="宋体"/>
                <w:szCs w:val="21"/>
              </w:rPr>
              <w:t>制定管理方针</w:t>
            </w:r>
          </w:p>
          <w:p>
            <w:pPr>
              <w:rPr>
                <w:rFonts w:ascii="宋体" w:cs="宋体"/>
                <w:szCs w:val="21"/>
              </w:rPr>
            </w:pPr>
            <w:r>
              <w:rPr>
                <w:rFonts w:hint="eastAsia" w:ascii="宋体" w:hAnsi="宋体" w:cs="宋体"/>
                <w:szCs w:val="21"/>
              </w:rPr>
              <w:t>沟通质量方针</w:t>
            </w:r>
          </w:p>
        </w:tc>
        <w:tc>
          <w:tcPr>
            <w:tcW w:w="1134" w:type="dxa"/>
            <w:vAlign w:val="center"/>
          </w:tcPr>
          <w:p>
            <w:pPr>
              <w:rPr>
                <w:rFonts w:ascii="宋体" w:hAnsi="宋体" w:cs="宋体"/>
                <w:szCs w:val="21"/>
              </w:rPr>
            </w:pPr>
            <w:r>
              <w:rPr>
                <w:rFonts w:hint="eastAsia" w:ascii="宋体" w:hAnsi="宋体" w:cs="宋体"/>
                <w:szCs w:val="21"/>
              </w:rPr>
              <w:t>QEO5.2</w:t>
            </w:r>
          </w:p>
          <w:p>
            <w:pPr>
              <w:rPr>
                <w:rFonts w:ascii="宋体" w:hAnsi="宋体" w:cs="宋体"/>
                <w:szCs w:val="21"/>
              </w:rPr>
            </w:pPr>
            <w:r>
              <w:rPr>
                <w:rFonts w:hint="eastAsia" w:ascii="宋体" w:hAnsi="宋体"/>
                <w:bCs/>
                <w:szCs w:val="21"/>
              </w:rPr>
              <w:t>J3.2</w:t>
            </w:r>
          </w:p>
        </w:tc>
        <w:tc>
          <w:tcPr>
            <w:tcW w:w="11624" w:type="dxa"/>
            <w:vAlign w:val="center"/>
          </w:tcPr>
          <w:p>
            <w:pPr>
              <w:ind w:firstLine="420" w:firstLineChars="200"/>
              <w:rPr>
                <w:rFonts w:ascii="宋体" w:hAnsi="宋体" w:cs="宋体"/>
                <w:szCs w:val="21"/>
              </w:rPr>
            </w:pPr>
            <w:r>
              <w:rPr>
                <w:rFonts w:hint="eastAsia" w:ascii="宋体" w:hAnsi="宋体" w:cs="宋体"/>
                <w:szCs w:val="21"/>
              </w:rPr>
              <w:t>质量、环境和职业健康安全管理方针：</w:t>
            </w:r>
          </w:p>
          <w:p>
            <w:pPr>
              <w:ind w:firstLine="420" w:firstLineChars="200"/>
              <w:rPr>
                <w:rFonts w:ascii="宋体" w:hAnsi="宋体" w:cs="宋体"/>
                <w:szCs w:val="21"/>
              </w:rPr>
            </w:pPr>
            <w:r>
              <w:rPr>
                <w:rFonts w:hint="eastAsia" w:ascii="宋体" w:hAnsi="宋体" w:cs="宋体"/>
                <w:szCs w:val="21"/>
              </w:rPr>
              <w:t>遵守国家法律，重视环境保护，确保施工安全，</w:t>
            </w:r>
          </w:p>
          <w:p>
            <w:pPr>
              <w:ind w:firstLine="420" w:firstLineChars="200"/>
              <w:rPr>
                <w:rFonts w:ascii="宋体" w:hAnsi="宋体" w:cs="宋体"/>
                <w:szCs w:val="21"/>
              </w:rPr>
            </w:pPr>
            <w:r>
              <w:rPr>
                <w:rFonts w:hint="eastAsia" w:ascii="宋体" w:hAnsi="宋体" w:cs="宋体"/>
                <w:szCs w:val="21"/>
              </w:rPr>
              <w:t>争创优质工程，深化企业管理，力求持续发展。</w:t>
            </w:r>
          </w:p>
          <w:p>
            <w:pPr>
              <w:ind w:firstLine="420" w:firstLineChars="200"/>
              <w:rPr>
                <w:rFonts w:ascii="宋体" w:hAnsi="宋体" w:cs="宋体"/>
                <w:szCs w:val="21"/>
              </w:rPr>
            </w:pPr>
            <w:r>
              <w:rPr>
                <w:rFonts w:hint="eastAsia" w:ascii="宋体" w:hAnsi="宋体" w:cs="宋体"/>
                <w:szCs w:val="21"/>
              </w:rPr>
              <w:t>公司通过各种宣传方式，将管理方针宣传到本公司各层次，确保方针得到正确的理解和实施。在管理评审会议上，总经理组织对方针的持续适宜性和有效性进行评审，并根据评审结果对其做出必要的调整。当相关方需要公司提供管理方针时，可通过公司内部进行传递获取。</w:t>
            </w:r>
          </w:p>
          <w:p>
            <w:pPr>
              <w:ind w:firstLine="420" w:firstLineChars="200"/>
              <w:rPr>
                <w:rFonts w:ascii="宋体" w:cs="宋体"/>
                <w:szCs w:val="21"/>
              </w:rPr>
            </w:pPr>
            <w:r>
              <w:rPr>
                <w:rFonts w:hint="eastAsia" w:ascii="宋体" w:hAnsi="宋体" w:cs="宋体"/>
                <w:szCs w:val="21"/>
              </w:rPr>
              <w:t>经查，质量、环境、职业健康安全管理方针没有变化。</w:t>
            </w:r>
          </w:p>
        </w:tc>
        <w:tc>
          <w:tcPr>
            <w:tcW w:w="709"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42" w:type="dxa"/>
            <w:vAlign w:val="center"/>
          </w:tcPr>
          <w:p>
            <w:pPr>
              <w:rPr>
                <w:rFonts w:ascii="宋体" w:cs="宋体"/>
                <w:szCs w:val="21"/>
              </w:rPr>
            </w:pPr>
            <w:r>
              <w:rPr>
                <w:rFonts w:hint="eastAsia" w:ascii="宋体" w:hAnsi="宋体" w:cs="宋体"/>
                <w:szCs w:val="21"/>
              </w:rPr>
              <w:t>组织的岗位、职责和权限，工作人员的协商和参与</w:t>
            </w:r>
          </w:p>
        </w:tc>
        <w:tc>
          <w:tcPr>
            <w:tcW w:w="1134" w:type="dxa"/>
            <w:vAlign w:val="center"/>
          </w:tcPr>
          <w:p>
            <w:pPr>
              <w:rPr>
                <w:rFonts w:ascii="宋体" w:hAnsi="宋体" w:cs="宋体"/>
                <w:szCs w:val="21"/>
              </w:rPr>
            </w:pPr>
            <w:r>
              <w:rPr>
                <w:rFonts w:hint="eastAsia" w:ascii="宋体" w:hAnsi="宋体" w:cs="宋体"/>
                <w:szCs w:val="21"/>
              </w:rPr>
              <w:t>QO5.3</w:t>
            </w:r>
          </w:p>
          <w:p>
            <w:pPr>
              <w:rPr>
                <w:rFonts w:ascii="宋体" w:hAnsi="宋体" w:cs="宋体"/>
                <w:szCs w:val="21"/>
              </w:rPr>
            </w:pPr>
            <w:r>
              <w:rPr>
                <w:rFonts w:hint="eastAsia" w:ascii="宋体" w:hAnsi="宋体" w:cs="宋体"/>
                <w:szCs w:val="21"/>
              </w:rPr>
              <w:t>J</w:t>
            </w:r>
            <w:r>
              <w:rPr>
                <w:rFonts w:hint="eastAsia" w:ascii="宋体" w:hAnsi="宋体"/>
                <w:bCs/>
                <w:szCs w:val="21"/>
              </w:rPr>
              <w:t>4.3</w:t>
            </w:r>
          </w:p>
        </w:tc>
        <w:tc>
          <w:tcPr>
            <w:tcW w:w="11624" w:type="dxa"/>
            <w:vAlign w:val="center"/>
          </w:tcPr>
          <w:p>
            <w:pPr>
              <w:ind w:firstLine="420" w:firstLineChars="200"/>
              <w:rPr>
                <w:rFonts w:ascii="宋体" w:cs="宋体"/>
                <w:szCs w:val="21"/>
              </w:rPr>
            </w:pPr>
            <w:r>
              <w:rPr>
                <w:rFonts w:hint="eastAsia"/>
                <w:szCs w:val="21"/>
              </w:rPr>
              <w:t>查到组织结构图，见各级各岗位人员职责、权限和相互关系。并见《人力资源管理控制程序》QEOP6-1和《岗位描述书》，规定了控制要求</w:t>
            </w:r>
            <w:r>
              <w:rPr>
                <w:rFonts w:hint="eastAsia" w:ascii="宋体" w:hAnsi="宋体" w:cs="宋体"/>
                <w:szCs w:val="21"/>
              </w:rPr>
              <w:t>并在公司内对各级员工进行了必要的传达。对从事与质量、环境、安全有关的管理、执行的人员规定其职责、权限及其相互关系。</w:t>
            </w:r>
          </w:p>
          <w:p>
            <w:pPr>
              <w:ind w:firstLine="420" w:firstLineChars="200"/>
              <w:rPr>
                <w:rFonts w:ascii="宋体" w:cs="宋体"/>
                <w:szCs w:val="21"/>
              </w:rPr>
            </w:pPr>
            <w:r>
              <w:rPr>
                <w:rFonts w:hint="eastAsia"/>
                <w:szCs w:val="21"/>
              </w:rPr>
              <w:t>查到任命书：</w:t>
            </w:r>
            <w:r>
              <w:rPr>
                <w:rFonts w:hint="eastAsia" w:ascii="宋体" w:hAnsi="宋体" w:cs="宋体"/>
                <w:szCs w:val="21"/>
              </w:rPr>
              <w:t>陶美廷</w:t>
            </w:r>
            <w:r>
              <w:rPr>
                <w:rFonts w:hint="eastAsia"/>
                <w:szCs w:val="21"/>
              </w:rPr>
              <w:t>为</w:t>
            </w:r>
            <w:r>
              <w:rPr>
                <w:rFonts w:hint="eastAsia" w:ascii="宋体" w:hAnsi="宋体" w:cs="宋体"/>
                <w:szCs w:val="21"/>
              </w:rPr>
              <w:t>公司管理者代表，盛明羊为员工代表。 与他们交</w:t>
            </w:r>
            <w:r>
              <w:rPr>
                <w:rFonts w:hint="eastAsia" w:ascii="宋体" w:hAnsi="宋体" w:cs="宋体"/>
                <w:szCs w:val="21"/>
                <w:lang w:val="en-GB"/>
              </w:rPr>
              <w:t>谈，</w:t>
            </w:r>
            <w:r>
              <w:rPr>
                <w:rFonts w:hint="eastAsia" w:ascii="宋体" w:hAnsi="宋体" w:cs="宋体"/>
                <w:szCs w:val="21"/>
              </w:rPr>
              <w:t>其清楚自己的职责：负责向管理层反映职</w:t>
            </w:r>
            <w:r>
              <w:rPr>
                <w:rFonts w:hint="eastAsia"/>
                <w:szCs w:val="21"/>
              </w:rPr>
              <w:t>工职业健康安全管理方面的要求，对事件的调查、处理，职工劳动防护的改善事宜进行协商交流；参与职业安全健康方针、目标、指标、管理方案的制定工作，提出合理化建议</w:t>
            </w:r>
            <w:r>
              <w:rPr>
                <w:szCs w:val="21"/>
              </w:rPr>
              <w:t>;</w:t>
            </w:r>
            <w:r>
              <w:rPr>
                <w:rFonts w:hint="eastAsia"/>
                <w:szCs w:val="21"/>
              </w:rPr>
              <w:t>工作人员代表能够作为协商和参与的机制。</w:t>
            </w:r>
          </w:p>
        </w:tc>
        <w:tc>
          <w:tcPr>
            <w:tcW w:w="709"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42" w:type="dxa"/>
            <w:vAlign w:val="center"/>
          </w:tcPr>
          <w:p>
            <w:pPr>
              <w:rPr>
                <w:rFonts w:ascii="宋体" w:cs="宋体"/>
                <w:szCs w:val="21"/>
              </w:rPr>
            </w:pPr>
            <w:r>
              <w:rPr>
                <w:rFonts w:hint="eastAsia" w:ascii="宋体" w:hAnsi="宋体" w:cs="宋体"/>
                <w:szCs w:val="21"/>
              </w:rPr>
              <w:t>风险和机遇应对措施及策划</w:t>
            </w:r>
          </w:p>
        </w:tc>
        <w:tc>
          <w:tcPr>
            <w:tcW w:w="1134" w:type="dxa"/>
            <w:vAlign w:val="center"/>
          </w:tcPr>
          <w:p>
            <w:pPr>
              <w:rPr>
                <w:rFonts w:ascii="宋体" w:hAnsi="宋体" w:cs="宋体"/>
                <w:szCs w:val="21"/>
              </w:rPr>
            </w:pPr>
            <w:r>
              <w:rPr>
                <w:rFonts w:hint="eastAsia" w:ascii="宋体" w:hAnsi="宋体" w:cs="宋体"/>
                <w:szCs w:val="21"/>
              </w:rPr>
              <w:t>Q6.1</w:t>
            </w:r>
          </w:p>
          <w:p>
            <w:pPr>
              <w:rPr>
                <w:rFonts w:ascii="宋体" w:hAnsi="宋体" w:cs="宋体"/>
                <w:szCs w:val="21"/>
              </w:rPr>
            </w:pPr>
            <w:r>
              <w:rPr>
                <w:rFonts w:hint="eastAsia" w:ascii="宋体" w:hAnsi="宋体" w:cs="宋体"/>
                <w:szCs w:val="21"/>
              </w:rPr>
              <w:t>EO:6.1.1</w:t>
            </w:r>
          </w:p>
          <w:p>
            <w:pPr>
              <w:rPr>
                <w:rFonts w:ascii="宋体" w:hAnsi="宋体" w:cs="宋体"/>
                <w:szCs w:val="21"/>
              </w:rPr>
            </w:pPr>
            <w:r>
              <w:rPr>
                <w:rFonts w:hint="eastAsia" w:ascii="宋体" w:hAnsi="宋体" w:cs="宋体"/>
                <w:szCs w:val="21"/>
              </w:rPr>
              <w:t>E:6.1.4</w:t>
            </w:r>
          </w:p>
          <w:p>
            <w:pPr>
              <w:rPr>
                <w:rFonts w:ascii="宋体" w:hAnsi="宋体" w:cs="宋体"/>
                <w:szCs w:val="21"/>
              </w:rPr>
            </w:pPr>
            <w:r>
              <w:rPr>
                <w:rFonts w:hint="eastAsia" w:ascii="宋体" w:hAnsi="宋体"/>
                <w:bCs/>
                <w:szCs w:val="21"/>
              </w:rPr>
              <w:t>J12.3-5</w:t>
            </w:r>
          </w:p>
        </w:tc>
        <w:tc>
          <w:tcPr>
            <w:tcW w:w="11624" w:type="dxa"/>
            <w:vAlign w:val="center"/>
          </w:tcPr>
          <w:p>
            <w:pPr>
              <w:ind w:firstLine="420" w:firstLineChars="200"/>
              <w:rPr>
                <w:rFonts w:ascii="宋体" w:cs="宋体"/>
                <w:szCs w:val="21"/>
              </w:rPr>
            </w:pPr>
            <w:r>
              <w:rPr>
                <w:rFonts w:hint="eastAsia" w:ascii="宋体" w:hAnsi="宋体" w:cs="宋体"/>
                <w:szCs w:val="21"/>
              </w:rPr>
              <w:t>公司制定管理手册中，明确风险和机遇事件的识别方法/途径、风险和机遇事件的评估方式、制定主要风险和机遇事件的应对措施的要求、评价这些措施有效性的方法。</w:t>
            </w:r>
          </w:p>
          <w:p>
            <w:pPr>
              <w:ind w:firstLine="420" w:firstLineChars="200"/>
              <w:rPr>
                <w:rFonts w:ascii="宋体" w:hAnsi="宋体" w:cs="宋体"/>
                <w:szCs w:val="21"/>
              </w:rPr>
            </w:pPr>
            <w:r>
              <w:rPr>
                <w:rFonts w:hint="eastAsia" w:ascii="宋体" w:hAnsi="宋体" w:cs="宋体"/>
                <w:szCs w:val="21"/>
              </w:rPr>
              <w:t>制定了</w:t>
            </w:r>
            <w:r>
              <w:rPr>
                <w:rFonts w:hint="eastAsia" w:ascii="宋体" w:hAnsi="宋体"/>
                <w:szCs w:val="21"/>
              </w:rPr>
              <w:t>QEOP9-2《</w:t>
            </w:r>
            <w:r>
              <w:rPr>
                <w:rFonts w:hint="eastAsia" w:ascii="宋体" w:hAnsi="宋体" w:cs="宋体"/>
                <w:szCs w:val="21"/>
              </w:rPr>
              <w:t>应对风险和机遇控制程序》，提供“风险和机遇评估分析表”，按照部门对风险和机遇进行了评价识别，并制定应对措施。编制行政部，审核陶美廷，批准徐明君  2019.1.10</w:t>
            </w:r>
          </w:p>
          <w:p>
            <w:pPr>
              <w:ind w:firstLine="420" w:firstLineChars="200"/>
              <w:rPr>
                <w:rFonts w:ascii="宋体" w:cs="宋体"/>
                <w:szCs w:val="21"/>
              </w:rPr>
            </w:pPr>
            <w:r>
              <w:rPr>
                <w:rFonts w:hint="eastAsia" w:ascii="宋体" w:cs="宋体"/>
                <w:szCs w:val="21"/>
              </w:rPr>
              <w:t>评价内容有：风险和机遇来源（内部和外部）、风险和机遇内容、风险分析、管理措施</w:t>
            </w:r>
            <w:r>
              <w:rPr>
                <w:rFonts w:hint="eastAsia" w:ascii="宋体" w:cs="宋体"/>
                <w:szCs w:val="21"/>
              </w:rPr>
              <w:tab/>
            </w:r>
            <w:r>
              <w:rPr>
                <w:rFonts w:hint="eastAsia" w:ascii="宋体" w:cs="宋体"/>
                <w:szCs w:val="21"/>
              </w:rPr>
              <w:t>责任部门/人、实施时间、应对措施有效性评价等。</w:t>
            </w:r>
          </w:p>
          <w:p>
            <w:pPr>
              <w:ind w:firstLine="420" w:firstLineChars="200"/>
              <w:rPr>
                <w:rFonts w:ascii="宋体" w:hAnsi="宋体" w:cs="宋体"/>
                <w:szCs w:val="21"/>
              </w:rPr>
            </w:pPr>
            <w:r>
              <w:rPr>
                <w:rFonts w:hint="eastAsia" w:ascii="宋体" w:hAnsi="宋体" w:cs="宋体"/>
                <w:szCs w:val="21"/>
              </w:rPr>
              <w:t>风险机遇识别基本充分，应对风险和机遇的措施基本适宜。</w:t>
            </w:r>
          </w:p>
          <w:p>
            <w:pPr>
              <w:rPr>
                <w:rFonts w:ascii="宋体" w:cs="宋体"/>
                <w:szCs w:val="21"/>
              </w:rPr>
            </w:pPr>
            <w:r>
              <w:rPr>
                <w:rFonts w:hint="eastAsia" w:ascii="宋体" w:hAnsi="宋体" w:cs="宋体"/>
                <w:szCs w:val="21"/>
              </w:rPr>
              <w:t>公司运行平稳，风险、机遇识别较一阶段没变化</w:t>
            </w:r>
          </w:p>
        </w:tc>
        <w:tc>
          <w:tcPr>
            <w:tcW w:w="709"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42" w:type="dxa"/>
            <w:vAlign w:val="center"/>
          </w:tcPr>
          <w:p>
            <w:pPr>
              <w:rPr>
                <w:rFonts w:ascii="宋体" w:hAnsi="宋体" w:cs="宋体"/>
                <w:szCs w:val="21"/>
              </w:rPr>
            </w:pPr>
            <w:r>
              <w:rPr>
                <w:rFonts w:hint="eastAsia" w:ascii="宋体" w:hAnsi="宋体" w:cs="宋体"/>
                <w:szCs w:val="21"/>
              </w:rPr>
              <w:t>管理目标及其实现的策划</w:t>
            </w:r>
          </w:p>
        </w:tc>
        <w:tc>
          <w:tcPr>
            <w:tcW w:w="1134" w:type="dxa"/>
            <w:vAlign w:val="center"/>
          </w:tcPr>
          <w:p>
            <w:pPr>
              <w:rPr>
                <w:rFonts w:ascii="宋体" w:hAnsi="宋体" w:cs="宋体"/>
                <w:szCs w:val="21"/>
              </w:rPr>
            </w:pPr>
            <w:r>
              <w:rPr>
                <w:rFonts w:hint="eastAsia" w:ascii="宋体" w:hAnsi="宋体" w:cs="宋体"/>
                <w:szCs w:val="21"/>
              </w:rPr>
              <w:t>QO 6.2</w:t>
            </w:r>
          </w:p>
          <w:p>
            <w:pPr>
              <w:rPr>
                <w:rFonts w:ascii="宋体" w:hAnsi="宋体" w:cs="宋体"/>
                <w:szCs w:val="21"/>
              </w:rPr>
            </w:pPr>
            <w:r>
              <w:rPr>
                <w:rFonts w:hint="eastAsia" w:ascii="宋体" w:hAnsi="宋体"/>
                <w:bCs/>
                <w:szCs w:val="21"/>
              </w:rPr>
              <w:t>J3.2</w:t>
            </w:r>
          </w:p>
        </w:tc>
        <w:tc>
          <w:tcPr>
            <w:tcW w:w="11624" w:type="dxa"/>
            <w:vAlign w:val="center"/>
          </w:tcPr>
          <w:p>
            <w:pPr>
              <w:ind w:firstLine="420" w:firstLineChars="200"/>
              <w:rPr>
                <w:rFonts w:ascii="宋体" w:cs="宋体"/>
                <w:szCs w:val="21"/>
              </w:rPr>
            </w:pPr>
            <w:r>
              <w:rPr>
                <w:rFonts w:hint="eastAsia" w:ascii="宋体" w:hAnsi="宋体" w:cs="宋体"/>
                <w:szCs w:val="21"/>
              </w:rPr>
              <w:t>总经理负责组织制定公司的管理目标，并在公司各部门进行分解，制定时考虑了公司的质量过程及其风险和机遇。</w:t>
            </w:r>
          </w:p>
          <w:p>
            <w:pPr>
              <w:overflowPunct w:val="0"/>
              <w:autoSpaceDE w:val="0"/>
              <w:autoSpaceDN w:val="0"/>
              <w:adjustRightInd w:val="0"/>
              <w:spacing w:line="360" w:lineRule="auto"/>
              <w:rPr>
                <w:rFonts w:ascii="宋体" w:hAnsi="宋体"/>
                <w:szCs w:val="21"/>
              </w:rPr>
            </w:pPr>
            <w:r>
              <w:rPr>
                <w:rFonts w:hint="eastAsia" w:ascii="宋体" w:hAnsi="宋体"/>
                <w:b/>
                <w:szCs w:val="21"/>
              </w:rPr>
              <w:t>查到公司总目标;</w:t>
            </w:r>
          </w:p>
          <w:p>
            <w:pPr>
              <w:overflowPunct w:val="0"/>
              <w:autoSpaceDE w:val="0"/>
              <w:autoSpaceDN w:val="0"/>
              <w:adjustRightInd w:val="0"/>
              <w:spacing w:line="360" w:lineRule="auto"/>
              <w:rPr>
                <w:rFonts w:ascii="宋体" w:hAnsi="宋体"/>
                <w:szCs w:val="21"/>
              </w:rPr>
            </w:pPr>
            <w:r>
              <w:rPr>
                <w:rFonts w:hint="eastAsia" w:ascii="宋体" w:hAnsi="宋体"/>
                <w:szCs w:val="21"/>
              </w:rPr>
              <w:t>1、合同按时履约率100%；</w:t>
            </w:r>
          </w:p>
          <w:p>
            <w:pPr>
              <w:overflowPunct w:val="0"/>
              <w:autoSpaceDE w:val="0"/>
              <w:autoSpaceDN w:val="0"/>
              <w:adjustRightInd w:val="0"/>
              <w:spacing w:line="360" w:lineRule="auto"/>
              <w:rPr>
                <w:rFonts w:ascii="宋体" w:hAnsi="宋体"/>
                <w:szCs w:val="21"/>
              </w:rPr>
            </w:pPr>
            <w:r>
              <w:rPr>
                <w:rFonts w:hint="eastAsia" w:ascii="宋体" w:hAnsi="宋体"/>
                <w:szCs w:val="21"/>
              </w:rPr>
              <w:t>2、顾客满意率 ≥ 90%</w:t>
            </w:r>
          </w:p>
          <w:p>
            <w:pPr>
              <w:overflowPunct w:val="0"/>
              <w:autoSpaceDE w:val="0"/>
              <w:autoSpaceDN w:val="0"/>
              <w:adjustRightInd w:val="0"/>
              <w:spacing w:line="360" w:lineRule="auto"/>
              <w:rPr>
                <w:rFonts w:ascii="宋体" w:hAnsi="宋体"/>
                <w:szCs w:val="21"/>
              </w:rPr>
            </w:pPr>
            <w:r>
              <w:rPr>
                <w:rFonts w:hint="eastAsia" w:ascii="宋体" w:hAnsi="宋体"/>
                <w:szCs w:val="21"/>
              </w:rPr>
              <w:t xml:space="preserve">3、产品一次交检合格率≥95％；      </w:t>
            </w:r>
          </w:p>
          <w:p>
            <w:pPr>
              <w:overflowPunct w:val="0"/>
              <w:autoSpaceDE w:val="0"/>
              <w:autoSpaceDN w:val="0"/>
              <w:adjustRightInd w:val="0"/>
              <w:spacing w:line="360" w:lineRule="auto"/>
              <w:rPr>
                <w:rFonts w:ascii="宋体" w:hAnsi="宋体"/>
                <w:szCs w:val="21"/>
              </w:rPr>
            </w:pPr>
            <w:r>
              <w:rPr>
                <w:rFonts w:hint="eastAsia" w:ascii="宋体" w:hAnsi="宋体"/>
                <w:szCs w:val="21"/>
                <w:lang w:val="en-US" w:eastAsia="zh-CN"/>
              </w:rPr>
              <w:t>4</w:t>
            </w:r>
            <w:r>
              <w:rPr>
                <w:rFonts w:hint="eastAsia" w:ascii="宋体" w:hAnsi="宋体"/>
                <w:szCs w:val="21"/>
              </w:rPr>
              <w:t>.火灾事故发生率为0</w:t>
            </w:r>
          </w:p>
          <w:p>
            <w:pPr>
              <w:overflowPunct w:val="0"/>
              <w:autoSpaceDE w:val="0"/>
              <w:autoSpaceDN w:val="0"/>
              <w:adjustRightInd w:val="0"/>
              <w:spacing w:line="360" w:lineRule="auto"/>
              <w:rPr>
                <w:rFonts w:ascii="宋体" w:hAnsi="宋体"/>
                <w:szCs w:val="21"/>
              </w:rPr>
            </w:pPr>
            <w:r>
              <w:rPr>
                <w:rFonts w:hint="eastAsia" w:ascii="宋体" w:hAnsi="宋体"/>
                <w:szCs w:val="21"/>
                <w:lang w:val="en-US" w:eastAsia="zh-CN"/>
              </w:rPr>
              <w:t>5</w:t>
            </w:r>
            <w:r>
              <w:rPr>
                <w:rFonts w:hint="eastAsia" w:ascii="宋体" w:hAnsi="宋体"/>
                <w:szCs w:val="21"/>
              </w:rPr>
              <w:t>.不发生重大安全事故</w:t>
            </w:r>
          </w:p>
          <w:p>
            <w:pPr>
              <w:rPr>
                <w:rFonts w:ascii="宋体" w:hAnsi="宋体" w:cs="宋体"/>
                <w:szCs w:val="21"/>
              </w:rPr>
            </w:pPr>
            <w:r>
              <w:rPr>
                <w:rFonts w:hint="eastAsia" w:ascii="宋体" w:hAnsi="宋体" w:cs="宋体"/>
                <w:szCs w:val="21"/>
              </w:rPr>
              <w:t xml:space="preserve">    提供《目标指标完成情况统计表》,</w:t>
            </w:r>
            <w:r>
              <w:rPr>
                <w:rFonts w:hint="eastAsia"/>
              </w:rPr>
              <w:t xml:space="preserve"> </w:t>
            </w:r>
            <w:r>
              <w:rPr>
                <w:rFonts w:hint="eastAsia" w:ascii="宋体" w:hAnsi="宋体" w:cs="宋体"/>
                <w:szCs w:val="21"/>
              </w:rPr>
              <w:t>统计时间：20</w:t>
            </w:r>
            <w:r>
              <w:rPr>
                <w:rFonts w:hint="eastAsia" w:ascii="宋体" w:hAnsi="宋体" w:cs="宋体"/>
                <w:szCs w:val="21"/>
                <w:lang w:val="en-US" w:eastAsia="zh-CN"/>
              </w:rPr>
              <w:t>20.10.30</w:t>
            </w:r>
            <w:r>
              <w:rPr>
                <w:rFonts w:hint="eastAsia" w:ascii="宋体" w:hAnsi="宋体" w:cs="宋体"/>
                <w:szCs w:val="21"/>
              </w:rPr>
              <w:t>,</w:t>
            </w:r>
            <w:r>
              <w:rPr>
                <w:rFonts w:hint="eastAsia"/>
              </w:rPr>
              <w:t xml:space="preserve"> </w:t>
            </w:r>
            <w:r>
              <w:rPr>
                <w:rFonts w:hint="eastAsia" w:ascii="宋体" w:hAnsi="宋体" w:cs="宋体"/>
                <w:szCs w:val="21"/>
              </w:rPr>
              <w:t>统计宋亚娟，审核陶美廷,以上目标指标均已完成，管理方案规定了措施方法、完成时间表、责任人、资金等情况。详见各部门记录。</w:t>
            </w:r>
          </w:p>
        </w:tc>
        <w:tc>
          <w:tcPr>
            <w:tcW w:w="709"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242" w:type="dxa"/>
            <w:vAlign w:val="center"/>
          </w:tcPr>
          <w:p>
            <w:pPr>
              <w:rPr>
                <w:rFonts w:ascii="宋体" w:cs="宋体"/>
                <w:szCs w:val="21"/>
              </w:rPr>
            </w:pPr>
            <w:r>
              <w:rPr>
                <w:rFonts w:hint="eastAsia" w:ascii="宋体" w:hAnsi="宋体" w:cs="宋体"/>
                <w:szCs w:val="21"/>
              </w:rPr>
              <w:t>变更的策划</w:t>
            </w:r>
          </w:p>
        </w:tc>
        <w:tc>
          <w:tcPr>
            <w:tcW w:w="1134" w:type="dxa"/>
            <w:vAlign w:val="center"/>
          </w:tcPr>
          <w:p>
            <w:pPr>
              <w:rPr>
                <w:rFonts w:ascii="宋体" w:hAnsi="宋体" w:cs="宋体"/>
                <w:szCs w:val="21"/>
              </w:rPr>
            </w:pPr>
            <w:r>
              <w:rPr>
                <w:rFonts w:hint="eastAsia" w:ascii="宋体" w:hAnsi="宋体" w:cs="宋体"/>
                <w:szCs w:val="21"/>
              </w:rPr>
              <w:t>Q6.3</w:t>
            </w:r>
          </w:p>
        </w:tc>
        <w:tc>
          <w:tcPr>
            <w:tcW w:w="11624" w:type="dxa"/>
            <w:vAlign w:val="center"/>
          </w:tcPr>
          <w:p>
            <w:pPr>
              <w:rPr>
                <w:rFonts w:ascii="宋体" w:hAnsi="宋体"/>
                <w:szCs w:val="21"/>
              </w:rPr>
            </w:pPr>
            <w:r>
              <w:rPr>
                <w:rFonts w:hint="eastAsia" w:ascii="宋体" w:hAnsi="宋体" w:cs="宋体"/>
                <w:szCs w:val="21"/>
              </w:rPr>
              <w:t>企业通过管理评审，内部审核结果，过程业绩分析、监视、测量、分析、评价、充分识别潜在的需求等信息，经现场查看企业注册地址、经营范围等无变更.</w:t>
            </w:r>
          </w:p>
        </w:tc>
        <w:tc>
          <w:tcPr>
            <w:tcW w:w="709"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1242" w:type="dxa"/>
            <w:vAlign w:val="center"/>
          </w:tcPr>
          <w:p>
            <w:pPr>
              <w:rPr>
                <w:rFonts w:ascii="宋体" w:hAnsi="宋体" w:cs="宋体"/>
                <w:szCs w:val="21"/>
              </w:rPr>
            </w:pPr>
            <w:r>
              <w:rPr>
                <w:rFonts w:hint="eastAsia" w:ascii="宋体" w:hAnsi="宋体" w:cs="宋体"/>
                <w:szCs w:val="21"/>
              </w:rPr>
              <w:t>资源-总则</w:t>
            </w:r>
          </w:p>
        </w:tc>
        <w:tc>
          <w:tcPr>
            <w:tcW w:w="1134" w:type="dxa"/>
            <w:vAlign w:val="center"/>
          </w:tcPr>
          <w:p>
            <w:pPr>
              <w:rPr>
                <w:rFonts w:ascii="宋体" w:hAnsi="宋体" w:cs="宋体"/>
                <w:szCs w:val="21"/>
              </w:rPr>
            </w:pPr>
            <w:r>
              <w:rPr>
                <w:rFonts w:hint="eastAsia" w:ascii="宋体" w:hAnsi="宋体" w:cs="宋体"/>
                <w:szCs w:val="21"/>
              </w:rPr>
              <w:t>Q7.1.1</w:t>
            </w:r>
          </w:p>
          <w:p>
            <w:pPr>
              <w:rPr>
                <w:rFonts w:ascii="宋体" w:hAnsi="宋体" w:cs="宋体"/>
                <w:szCs w:val="21"/>
              </w:rPr>
            </w:pPr>
            <w:r>
              <w:rPr>
                <w:rFonts w:hint="eastAsia" w:ascii="宋体" w:hAnsi="宋体" w:cs="宋体"/>
                <w:szCs w:val="21"/>
              </w:rPr>
              <w:t>EO:7.1</w:t>
            </w:r>
          </w:p>
          <w:p>
            <w:pPr>
              <w:rPr>
                <w:rFonts w:ascii="宋体" w:hAnsi="宋体" w:cs="宋体"/>
                <w:szCs w:val="21"/>
              </w:rPr>
            </w:pPr>
            <w:r>
              <w:rPr>
                <w:rFonts w:hint="eastAsia" w:ascii="宋体" w:hAnsi="宋体" w:cs="宋体"/>
                <w:szCs w:val="21"/>
              </w:rPr>
              <w:t>J3.4</w:t>
            </w:r>
          </w:p>
        </w:tc>
        <w:tc>
          <w:tcPr>
            <w:tcW w:w="11624" w:type="dxa"/>
            <w:vAlign w:val="center"/>
          </w:tcPr>
          <w:p>
            <w:pPr>
              <w:ind w:firstLine="420" w:firstLineChars="200"/>
              <w:rPr>
                <w:rFonts w:ascii="宋体" w:hAnsi="宋体" w:cs="宋体"/>
                <w:szCs w:val="21"/>
              </w:rPr>
            </w:pPr>
            <w:r>
              <w:rPr>
                <w:rFonts w:hint="eastAsia" w:ascii="宋体" w:hAnsi="宋体" w:cs="宋体"/>
                <w:szCs w:val="21"/>
              </w:rPr>
              <w:t>公司根据运行需要，配备了各岗位所需人员、经营用房屋、生产设备、监视测量设备、办公设备（电脑、打印机等）、消防器材、劳动防护用品、</w:t>
            </w:r>
          </w:p>
          <w:p>
            <w:pPr>
              <w:ind w:firstLine="420" w:firstLineChars="200"/>
              <w:rPr>
                <w:rFonts w:ascii="宋体" w:hAnsi="宋体" w:cs="宋体"/>
                <w:szCs w:val="21"/>
              </w:rPr>
            </w:pPr>
            <w:r>
              <w:rPr>
                <w:rFonts w:hint="eastAsia" w:ascii="宋体" w:hAnsi="宋体" w:cs="宋体"/>
                <w:szCs w:val="21"/>
              </w:rPr>
              <w:t>经营运行资金等资源，体系建立至今，未发生资源不足影响满足客户要求的现象.</w:t>
            </w:r>
          </w:p>
          <w:p>
            <w:pPr>
              <w:ind w:firstLine="420" w:firstLineChars="200"/>
              <w:rPr>
                <w:rFonts w:ascii="宋体" w:hAnsi="宋体" w:cs="宋体"/>
                <w:szCs w:val="21"/>
              </w:rPr>
            </w:pPr>
            <w:r>
              <w:rPr>
                <w:rFonts w:hint="eastAsia" w:ascii="宋体" w:hAnsi="宋体" w:cs="宋体"/>
                <w:szCs w:val="21"/>
              </w:rPr>
              <w:t>观察办公室，办公2层，办公面积100平左右，打印机、电脑、复印件、生产用设备等配备齐全。项目部办公主要在各项目施工现场，详见工程部和各项目审核条款。</w:t>
            </w:r>
          </w:p>
        </w:tc>
        <w:tc>
          <w:tcPr>
            <w:tcW w:w="709"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trPr>
        <w:tc>
          <w:tcPr>
            <w:tcW w:w="1242" w:type="dxa"/>
            <w:vAlign w:val="center"/>
          </w:tcPr>
          <w:p>
            <w:pPr>
              <w:rPr>
                <w:rFonts w:ascii="宋体" w:hAnsi="宋体" w:cs="宋体"/>
                <w:szCs w:val="21"/>
              </w:rPr>
            </w:pPr>
            <w:r>
              <w:rPr>
                <w:rFonts w:hint="eastAsia" w:ascii="宋体" w:hAnsi="宋体" w:cs="宋体"/>
                <w:szCs w:val="21"/>
              </w:rPr>
              <w:t>绩效测量和监视</w:t>
            </w:r>
          </w:p>
        </w:tc>
        <w:tc>
          <w:tcPr>
            <w:tcW w:w="1134" w:type="dxa"/>
            <w:vAlign w:val="center"/>
          </w:tcPr>
          <w:p>
            <w:pPr>
              <w:rPr>
                <w:rFonts w:ascii="宋体" w:hAnsi="宋体" w:cs="宋体"/>
                <w:szCs w:val="21"/>
              </w:rPr>
            </w:pPr>
            <w:r>
              <w:rPr>
                <w:rFonts w:hint="eastAsia" w:ascii="宋体" w:hAnsi="宋体" w:cs="宋体"/>
                <w:szCs w:val="21"/>
              </w:rPr>
              <w:t>QEO9.1.1</w:t>
            </w:r>
          </w:p>
          <w:p>
            <w:pPr>
              <w:jc w:val="left"/>
              <w:rPr>
                <w:rFonts w:ascii="宋体" w:hAnsi="宋体" w:cs="宋体"/>
                <w:szCs w:val="21"/>
              </w:rPr>
            </w:pPr>
            <w:r>
              <w:rPr>
                <w:rFonts w:hint="eastAsia" w:ascii="宋体" w:hAnsi="宋体"/>
                <w:bCs/>
                <w:sz w:val="18"/>
                <w:szCs w:val="18"/>
              </w:rPr>
              <w:t>J3.4.2/11.1.1/11.2、12.1/12.2.1-2</w:t>
            </w:r>
          </w:p>
        </w:tc>
        <w:tc>
          <w:tcPr>
            <w:tcW w:w="11624" w:type="dxa"/>
            <w:vAlign w:val="center"/>
          </w:tcPr>
          <w:p>
            <w:pPr>
              <w:ind w:firstLine="420" w:firstLineChars="200"/>
              <w:rPr>
                <w:rFonts w:ascii="宋体" w:cs="宋体"/>
                <w:szCs w:val="21"/>
              </w:rPr>
            </w:pPr>
            <w:r>
              <w:rPr>
                <w:rFonts w:hint="eastAsia" w:ascii="宋体" w:hAnsi="宋体" w:cs="宋体"/>
                <w:szCs w:val="21"/>
              </w:rPr>
              <w:t>公司编制了</w:t>
            </w:r>
            <w:r>
              <w:rPr>
                <w:rFonts w:hint="eastAsia" w:ascii="宋体" w:hAnsi="宋体"/>
                <w:szCs w:val="21"/>
              </w:rPr>
              <w:t>QEOP8-2</w:t>
            </w:r>
            <w:r>
              <w:rPr>
                <w:rFonts w:hint="eastAsia" w:ascii="宋体" w:hAnsi="宋体" w:cs="宋体"/>
                <w:szCs w:val="21"/>
              </w:rPr>
              <w:t>《顾客满意度监视测量程序》，以验证其符合要求的程度，确保服务符合要求。</w:t>
            </w:r>
          </w:p>
          <w:p>
            <w:pPr>
              <w:ind w:firstLine="420" w:firstLineChars="200"/>
              <w:rPr>
                <w:rFonts w:ascii="宋体" w:cs="宋体"/>
                <w:szCs w:val="21"/>
              </w:rPr>
            </w:pPr>
            <w:r>
              <w:rPr>
                <w:rFonts w:hint="eastAsia" w:ascii="宋体" w:hAnsi="宋体" w:cs="宋体"/>
                <w:szCs w:val="21"/>
              </w:rPr>
              <w:t>公司制定《内部审核控制程序》 、《管理评审控制程序》 和《数据分析控制程序》为保证公司质量管理体系的有效运行，通过对管理绩效的监视与测量，确保体系运行的有效性。</w:t>
            </w:r>
          </w:p>
          <w:p>
            <w:pPr>
              <w:ind w:firstLine="420" w:firstLineChars="200"/>
              <w:rPr>
                <w:rFonts w:ascii="宋体" w:cs="宋体"/>
                <w:szCs w:val="21"/>
              </w:rPr>
            </w:pPr>
            <w:r>
              <w:rPr>
                <w:rFonts w:hint="eastAsia" w:ascii="宋体" w:hAnsi="宋体" w:cs="宋体"/>
                <w:szCs w:val="21"/>
              </w:rPr>
              <w:t>查阅“部门质量目标策划及考核记录表”，</w:t>
            </w:r>
          </w:p>
          <w:p>
            <w:pPr>
              <w:ind w:firstLine="420" w:firstLineChars="200"/>
              <w:rPr>
                <w:rFonts w:ascii="宋体" w:cs="宋体"/>
                <w:szCs w:val="21"/>
              </w:rPr>
            </w:pPr>
            <w:r>
              <w:rPr>
                <w:rFonts w:hint="eastAsia" w:ascii="宋体" w:hAnsi="宋体" w:cs="宋体"/>
                <w:szCs w:val="21"/>
              </w:rPr>
              <w:t>提供管理目标指标的检查考核工作，均完成目标考核要求。目前未发现公司出现违规现象。</w:t>
            </w:r>
          </w:p>
        </w:tc>
        <w:tc>
          <w:tcPr>
            <w:tcW w:w="709"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42" w:type="dxa"/>
          </w:tcPr>
          <w:p>
            <w:pPr>
              <w:rPr>
                <w:rFonts w:ascii="宋体" w:cs="宋体"/>
                <w:szCs w:val="21"/>
              </w:rPr>
            </w:pPr>
            <w:r>
              <w:rPr>
                <w:rFonts w:hint="eastAsia" w:ascii="宋体" w:hAnsi="宋体" w:cs="宋体"/>
                <w:szCs w:val="21"/>
              </w:rPr>
              <w:t>管理评审</w:t>
            </w:r>
          </w:p>
        </w:tc>
        <w:tc>
          <w:tcPr>
            <w:tcW w:w="1134" w:type="dxa"/>
          </w:tcPr>
          <w:p>
            <w:pPr>
              <w:rPr>
                <w:rFonts w:ascii="宋体" w:cs="宋体"/>
                <w:szCs w:val="21"/>
              </w:rPr>
            </w:pPr>
            <w:r>
              <w:rPr>
                <w:rFonts w:hint="eastAsia" w:ascii="宋体" w:hAnsi="宋体" w:cs="宋体"/>
                <w:szCs w:val="21"/>
              </w:rPr>
              <w:t>QEO 9.3</w:t>
            </w:r>
          </w:p>
          <w:p>
            <w:pPr>
              <w:rPr>
                <w:rFonts w:ascii="宋体" w:hAnsi="宋体" w:cs="宋体"/>
                <w:szCs w:val="21"/>
              </w:rPr>
            </w:pPr>
            <w:r>
              <w:rPr>
                <w:rFonts w:hint="eastAsia" w:ascii="宋体" w:hAnsi="宋体" w:cs="宋体"/>
                <w:szCs w:val="21"/>
              </w:rPr>
              <w:t>J 12.4</w:t>
            </w:r>
          </w:p>
        </w:tc>
        <w:tc>
          <w:tcPr>
            <w:tcW w:w="11624" w:type="dxa"/>
            <w:vAlign w:val="center"/>
          </w:tcPr>
          <w:p>
            <w:pPr>
              <w:ind w:firstLine="420" w:firstLineChars="200"/>
              <w:rPr>
                <w:rFonts w:ascii="宋体" w:cs="宋体"/>
                <w:szCs w:val="21"/>
              </w:rPr>
            </w:pPr>
            <w:r>
              <w:rPr>
                <w:rFonts w:hint="eastAsia" w:ascii="宋体" w:hAnsi="宋体" w:cs="宋体"/>
                <w:szCs w:val="21"/>
              </w:rPr>
              <w:t>公司依据：GB/T19001-2016\GB/T24001-2016\</w:t>
            </w:r>
            <w:r>
              <w:rPr>
                <w:rFonts w:hint="eastAsia" w:ascii="宋体" w:hAnsi="宋体"/>
                <w:szCs w:val="21"/>
              </w:rPr>
              <w:t>ISO45001:2018</w:t>
            </w:r>
            <w:r>
              <w:rPr>
                <w:rFonts w:hint="eastAsia" w:ascii="宋体" w:hAnsi="宋体" w:cs="宋体"/>
                <w:szCs w:val="21"/>
              </w:rPr>
              <w:t>标准进行管理评审。</w:t>
            </w:r>
          </w:p>
          <w:p>
            <w:pPr>
              <w:rPr>
                <w:rFonts w:ascii="宋体" w:cs="宋体"/>
                <w:szCs w:val="21"/>
              </w:rPr>
            </w:pPr>
            <w:r>
              <w:rPr>
                <w:rFonts w:hint="eastAsia" w:ascii="宋体" w:hAnsi="宋体" w:cs="宋体"/>
                <w:szCs w:val="21"/>
              </w:rPr>
              <w:t>目前按标准要求平稳运行，至今暂无变更情况发生。</w:t>
            </w:r>
          </w:p>
          <w:p>
            <w:pPr>
              <w:rPr>
                <w:rFonts w:ascii="宋体" w:cs="宋体"/>
                <w:szCs w:val="21"/>
              </w:rPr>
            </w:pPr>
            <w:r>
              <w:rPr>
                <w:rFonts w:hint="eastAsia" w:ascii="宋体" w:hAnsi="宋体" w:cs="宋体"/>
                <w:szCs w:val="21"/>
              </w:rPr>
              <w:t>查阅公司管理评审资料：</w:t>
            </w:r>
          </w:p>
          <w:p>
            <w:pPr>
              <w:rPr>
                <w:rFonts w:ascii="宋体" w:cs="宋体"/>
                <w:szCs w:val="21"/>
              </w:rPr>
            </w:pPr>
            <w:r>
              <w:rPr>
                <w:rFonts w:hint="eastAsia" w:ascii="宋体" w:hAnsi="宋体" w:cs="宋体"/>
                <w:szCs w:val="21"/>
              </w:rPr>
              <w:t>一、评审时间：</w:t>
            </w:r>
            <w:r>
              <w:rPr>
                <w:rFonts w:hint="eastAsia" w:ascii="宋体" w:hAnsi="宋体" w:cs="宋体"/>
                <w:szCs w:val="21"/>
                <w:lang w:eastAsia="zh-CN"/>
              </w:rPr>
              <w:t>2020年6月22日</w:t>
            </w:r>
            <w:r>
              <w:rPr>
                <w:rFonts w:hint="eastAsia" w:ascii="宋体" w:cs="宋体"/>
                <w:szCs w:val="21"/>
              </w:rPr>
              <w:t>,</w:t>
            </w:r>
            <w:r>
              <w:rPr>
                <w:rFonts w:hint="eastAsia" w:ascii="宋体" w:hAnsi="宋体" w:cs="宋体"/>
                <w:szCs w:val="21"/>
              </w:rPr>
              <w:t>评审方式：会议评审</w:t>
            </w:r>
          </w:p>
          <w:p>
            <w:pPr>
              <w:rPr>
                <w:rFonts w:ascii="宋体" w:hAnsi="宋体" w:cs="宋体"/>
                <w:szCs w:val="21"/>
              </w:rPr>
            </w:pPr>
            <w:r>
              <w:rPr>
                <w:rFonts w:hint="eastAsia" w:ascii="宋体" w:hAnsi="宋体" w:cs="宋体"/>
                <w:szCs w:val="21"/>
              </w:rPr>
              <w:t>参加人员：</w:t>
            </w:r>
            <w:r>
              <w:rPr>
                <w:rFonts w:hint="eastAsia" w:ascii="宋体" w:hAnsi="宋体"/>
                <w:szCs w:val="21"/>
              </w:rPr>
              <w:t>公司总经理、管理者代表等有关领导；各部门负责人。</w:t>
            </w:r>
          </w:p>
          <w:p>
            <w:pPr>
              <w:rPr>
                <w:rFonts w:ascii="宋体" w:cs="宋体"/>
                <w:szCs w:val="21"/>
              </w:rPr>
            </w:pPr>
            <w:r>
              <w:rPr>
                <w:rFonts w:hint="eastAsia" w:ascii="宋体" w:hAnsi="宋体" w:cs="宋体"/>
                <w:szCs w:val="21"/>
              </w:rPr>
              <w:t>二、管理评审输入：</w:t>
            </w:r>
          </w:p>
          <w:p>
            <w:pPr>
              <w:spacing w:line="360" w:lineRule="auto"/>
              <w:ind w:left="480"/>
              <w:jc w:val="left"/>
              <w:rPr>
                <w:rFonts w:ascii="宋体" w:hAnsi="宋体"/>
                <w:color w:val="000000"/>
                <w:szCs w:val="21"/>
              </w:rPr>
            </w:pPr>
            <w:r>
              <w:rPr>
                <w:rFonts w:hint="eastAsia" w:ascii="宋体" w:hAnsi="宋体"/>
                <w:color w:val="000000"/>
                <w:szCs w:val="21"/>
              </w:rPr>
              <w:t>组织环境、相关方需求、公司的管理方针、管理目标、法律法规和其他要求遵循情况分析报告、指标的执行和完成情况；产品质量和顾客满意情况、资源的配备；纠正和预防措施情况等；</w:t>
            </w:r>
          </w:p>
          <w:p>
            <w:pPr>
              <w:ind w:firstLine="420" w:firstLineChars="200"/>
              <w:rPr>
                <w:rFonts w:ascii="宋体" w:cs="宋体"/>
                <w:szCs w:val="21"/>
              </w:rPr>
            </w:pPr>
            <w:r>
              <w:rPr>
                <w:rFonts w:hint="eastAsia" w:ascii="宋体" w:hAnsi="宋体" w:cs="宋体"/>
                <w:szCs w:val="21"/>
              </w:rPr>
              <w:t>以上内容通过会上工作总结、汇报等形式体现。</w:t>
            </w:r>
          </w:p>
          <w:p>
            <w:pPr>
              <w:rPr>
                <w:rFonts w:ascii="宋体" w:cs="宋体"/>
                <w:szCs w:val="21"/>
              </w:rPr>
            </w:pPr>
            <w:r>
              <w:rPr>
                <w:rFonts w:hint="eastAsia" w:ascii="宋体" w:hAnsi="宋体" w:cs="宋体"/>
                <w:szCs w:val="21"/>
              </w:rPr>
              <w:t>三、查看“管理评审报告”，报告中对本次管理评审做了总结，评价了公司建立、运行管理体系的效果，</w:t>
            </w:r>
            <w:r>
              <w:rPr>
                <w:rFonts w:hint="eastAsia"/>
                <w:color w:val="000000"/>
                <w:szCs w:val="21"/>
              </w:rPr>
              <w:t>还提出了改进意见：加强质量、环保和安全意识培训；加强员工安全知识考核</w:t>
            </w:r>
            <w:r>
              <w:rPr>
                <w:rFonts w:hint="eastAsia" w:ascii="宋体" w:hAnsi="宋体" w:cs="宋体"/>
                <w:szCs w:val="21"/>
              </w:rPr>
              <w:t>。</w:t>
            </w:r>
          </w:p>
          <w:p>
            <w:pPr>
              <w:rPr>
                <w:rFonts w:hint="default" w:ascii="宋体" w:hAnsi="宋体" w:eastAsia="宋体" w:cs="宋体"/>
                <w:szCs w:val="21"/>
                <w:lang w:val="en-US" w:eastAsia="zh-CN"/>
              </w:rPr>
            </w:pPr>
            <w:r>
              <w:rPr>
                <w:rFonts w:hint="eastAsia" w:ascii="宋体" w:hAnsi="宋体" w:cs="宋体"/>
                <w:szCs w:val="21"/>
              </w:rPr>
              <w:t>四、管理评审输出/评审结论：</w:t>
            </w:r>
          </w:p>
          <w:p>
            <w:pPr>
              <w:autoSpaceDE w:val="0"/>
              <w:autoSpaceDN w:val="0"/>
              <w:adjustRightInd w:val="0"/>
              <w:spacing w:line="360" w:lineRule="auto"/>
              <w:jc w:val="left"/>
              <w:rPr>
                <w:rFonts w:ascii="宋体" w:hAnsi="宋体"/>
                <w:color w:val="000000"/>
                <w:szCs w:val="21"/>
              </w:rPr>
            </w:pPr>
            <w:r>
              <w:rPr>
                <w:rFonts w:hint="eastAsia" w:ascii="宋体" w:hAnsi="宋体"/>
                <w:color w:val="000000"/>
                <w:szCs w:val="21"/>
              </w:rPr>
              <w:t>公司管理体系符合</w:t>
            </w:r>
            <w:r>
              <w:rPr>
                <w:rFonts w:hint="eastAsia" w:ascii="宋体" w:hAnsi="宋体"/>
                <w:szCs w:val="21"/>
              </w:rPr>
              <w:t>G</w:t>
            </w:r>
            <w:r>
              <w:rPr>
                <w:rFonts w:hint="eastAsia" w:ascii="宋体" w:hAnsi="宋体"/>
                <w:color w:val="000000"/>
                <w:szCs w:val="21"/>
              </w:rPr>
              <w:t>B/T19001-2016、GB/T24001-2016、ISO45001:2018；标准要求，体系文件基本实用，管理方针切实可行。</w:t>
            </w:r>
          </w:p>
        </w:tc>
        <w:tc>
          <w:tcPr>
            <w:tcW w:w="709"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1242" w:type="dxa"/>
          </w:tcPr>
          <w:p>
            <w:pPr>
              <w:rPr>
                <w:rFonts w:ascii="宋体" w:hAnsi="宋体" w:cs="宋体"/>
                <w:szCs w:val="21"/>
              </w:rPr>
            </w:pPr>
            <w:r>
              <w:rPr>
                <w:rFonts w:hint="eastAsia" w:ascii="宋体" w:hAnsi="宋体" w:cs="宋体"/>
                <w:szCs w:val="21"/>
              </w:rPr>
              <w:t>体系的运行现状及改进的要求</w:t>
            </w:r>
          </w:p>
        </w:tc>
        <w:tc>
          <w:tcPr>
            <w:tcW w:w="1134" w:type="dxa"/>
          </w:tcPr>
          <w:p>
            <w:pPr>
              <w:rPr>
                <w:rFonts w:ascii="宋体" w:cs="宋体"/>
                <w:szCs w:val="21"/>
              </w:rPr>
            </w:pPr>
            <w:r>
              <w:rPr>
                <w:rFonts w:hint="eastAsia" w:ascii="宋体" w:hAnsi="宋体" w:cs="宋体"/>
                <w:szCs w:val="21"/>
              </w:rPr>
              <w:t>QEO10.1</w:t>
            </w:r>
          </w:p>
          <w:p>
            <w:pPr>
              <w:rPr>
                <w:rFonts w:ascii="宋体" w:hAnsi="宋体" w:cs="宋体"/>
                <w:szCs w:val="21"/>
              </w:rPr>
            </w:pPr>
            <w:r>
              <w:rPr>
                <w:rFonts w:hint="eastAsia" w:ascii="宋体" w:hAnsi="宋体" w:cs="宋体"/>
                <w:szCs w:val="21"/>
              </w:rPr>
              <w:t>J12.1</w:t>
            </w:r>
          </w:p>
        </w:tc>
        <w:tc>
          <w:tcPr>
            <w:tcW w:w="11624" w:type="dxa"/>
            <w:vAlign w:val="center"/>
          </w:tcPr>
          <w:p>
            <w:pPr>
              <w:ind w:firstLine="420" w:firstLineChars="200"/>
              <w:rPr>
                <w:rFonts w:ascii="宋体" w:hAnsi="宋体" w:cs="宋体"/>
                <w:szCs w:val="21"/>
              </w:rPr>
            </w:pPr>
            <w:r>
              <w:rPr>
                <w:rFonts w:hint="eastAsia" w:ascii="宋体" w:hAnsi="宋体" w:cs="宋体"/>
                <w:szCs w:val="21"/>
              </w:rPr>
              <w:t>企业自体系建立以来，通过内审的改进、管理评审；纠正措施的实施、顾客满意度调查等措施，采取了具体的改进措施。基本符合要求。</w:t>
            </w:r>
          </w:p>
          <w:p>
            <w:pPr>
              <w:ind w:firstLine="420" w:firstLineChars="200"/>
              <w:rPr>
                <w:rFonts w:ascii="宋体" w:hAnsi="宋体" w:cs="宋体"/>
                <w:szCs w:val="21"/>
              </w:rPr>
            </w:pPr>
            <w:r>
              <w:rPr>
                <w:rFonts w:hint="eastAsia" w:ascii="宋体" w:hAnsi="宋体" w:cs="宋体"/>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c>
          <w:tcPr>
            <w:tcW w:w="709"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42" w:type="dxa"/>
          </w:tcPr>
          <w:p>
            <w:pPr>
              <w:rPr>
                <w:rFonts w:ascii="宋体" w:cs="宋体"/>
                <w:szCs w:val="21"/>
              </w:rPr>
            </w:pPr>
          </w:p>
          <w:p>
            <w:pPr>
              <w:rPr>
                <w:rFonts w:ascii="宋体" w:cs="宋体"/>
                <w:szCs w:val="21"/>
              </w:rPr>
            </w:pPr>
          </w:p>
          <w:p>
            <w:pPr>
              <w:rPr>
                <w:rFonts w:ascii="宋体" w:cs="宋体"/>
                <w:szCs w:val="21"/>
              </w:rPr>
            </w:pPr>
          </w:p>
          <w:p>
            <w:pPr>
              <w:rPr>
                <w:rFonts w:ascii="宋体" w:cs="宋体"/>
                <w:szCs w:val="21"/>
              </w:rPr>
            </w:pPr>
            <w:r>
              <w:rPr>
                <w:rFonts w:hint="eastAsia" w:ascii="宋体" w:hAnsi="宋体" w:cs="宋体"/>
                <w:szCs w:val="21"/>
              </w:rPr>
              <w:t>持续改进</w:t>
            </w:r>
          </w:p>
        </w:tc>
        <w:tc>
          <w:tcPr>
            <w:tcW w:w="1134" w:type="dxa"/>
          </w:tcPr>
          <w:p>
            <w:pPr>
              <w:rPr>
                <w:rFonts w:ascii="宋体" w:cs="宋体"/>
                <w:szCs w:val="21"/>
              </w:rPr>
            </w:pPr>
          </w:p>
          <w:p>
            <w:pPr>
              <w:rPr>
                <w:rFonts w:ascii="宋体" w:cs="宋体"/>
                <w:szCs w:val="21"/>
              </w:rPr>
            </w:pPr>
          </w:p>
          <w:p>
            <w:pPr>
              <w:rPr>
                <w:rFonts w:ascii="宋体" w:cs="宋体"/>
                <w:szCs w:val="21"/>
              </w:rPr>
            </w:pPr>
          </w:p>
          <w:p>
            <w:pPr>
              <w:rPr>
                <w:rFonts w:ascii="宋体" w:hAnsi="宋体" w:cs="宋体"/>
                <w:szCs w:val="21"/>
              </w:rPr>
            </w:pPr>
            <w:r>
              <w:rPr>
                <w:rFonts w:hint="eastAsia" w:ascii="宋体" w:hAnsi="宋体" w:cs="宋体"/>
                <w:szCs w:val="21"/>
              </w:rPr>
              <w:t>QEO10.3</w:t>
            </w:r>
          </w:p>
          <w:p>
            <w:pPr>
              <w:rPr>
                <w:rFonts w:ascii="宋体" w:hAnsi="宋体" w:cs="宋体"/>
                <w:szCs w:val="21"/>
              </w:rPr>
            </w:pPr>
            <w:r>
              <w:rPr>
                <w:rFonts w:hint="eastAsia" w:ascii="宋体" w:hAnsi="宋体" w:cs="宋体"/>
                <w:szCs w:val="21"/>
              </w:rPr>
              <w:t>J12.5</w:t>
            </w:r>
          </w:p>
        </w:tc>
        <w:tc>
          <w:tcPr>
            <w:tcW w:w="11624" w:type="dxa"/>
            <w:vAlign w:val="center"/>
          </w:tcPr>
          <w:p>
            <w:pPr>
              <w:ind w:firstLine="420" w:firstLineChars="200"/>
              <w:rPr>
                <w:rFonts w:ascii="宋体" w:cs="宋体"/>
                <w:szCs w:val="21"/>
              </w:rPr>
            </w:pPr>
            <w:r>
              <w:rPr>
                <w:rFonts w:hint="eastAsia" w:ascii="宋体" w:hAnsi="宋体" w:cs="宋体"/>
                <w:szCs w:val="21"/>
              </w:rPr>
              <w:t>公司制定</w:t>
            </w:r>
            <w:r>
              <w:rPr>
                <w:rFonts w:ascii="宋体" w:hAnsi="宋体"/>
                <w:szCs w:val="21"/>
              </w:rPr>
              <w:t>D</w:t>
            </w:r>
            <w:r>
              <w:rPr>
                <w:rFonts w:hint="eastAsia" w:ascii="宋体" w:hAnsi="宋体"/>
                <w:szCs w:val="21"/>
              </w:rPr>
              <w:t>EOP8-7</w:t>
            </w:r>
            <w:r>
              <w:rPr>
                <w:rFonts w:hint="eastAsia" w:ascii="宋体" w:hAnsi="宋体" w:cs="宋体"/>
                <w:szCs w:val="21"/>
              </w:rPr>
              <w:t>《纠正预防措施控制程序》，规定了纠正措施的来源</w:t>
            </w:r>
            <w:r>
              <w:rPr>
                <w:rFonts w:hint="eastAsia" w:ascii="宋体" w:cs="宋体"/>
                <w:szCs w:val="21"/>
              </w:rPr>
              <w:t>,</w:t>
            </w:r>
            <w:r>
              <w:rPr>
                <w:rFonts w:hint="eastAsia" w:ascii="宋体" w:hAnsi="宋体" w:cs="宋体"/>
                <w:szCs w:val="21"/>
              </w:rPr>
              <w:t>明确了对不合格项应进行原因分析</w:t>
            </w:r>
            <w:r>
              <w:rPr>
                <w:rFonts w:hint="eastAsia" w:ascii="宋体" w:cs="宋体"/>
                <w:szCs w:val="21"/>
              </w:rPr>
              <w:t>,</w:t>
            </w:r>
            <w:r>
              <w:rPr>
                <w:rFonts w:hint="eastAsia" w:ascii="宋体" w:hAnsi="宋体" w:cs="宋体"/>
                <w:szCs w:val="21"/>
              </w:rPr>
              <w:t>制定纠正措施计划</w:t>
            </w:r>
            <w:r>
              <w:rPr>
                <w:rFonts w:hint="eastAsia" w:ascii="宋体" w:cs="宋体"/>
                <w:szCs w:val="21"/>
              </w:rPr>
              <w:t>,</w:t>
            </w:r>
            <w:r>
              <w:rPr>
                <w:rFonts w:hint="eastAsia" w:ascii="宋体" w:hAnsi="宋体" w:cs="宋体"/>
                <w:szCs w:val="21"/>
              </w:rPr>
              <w:t>实施跟踪验证</w:t>
            </w:r>
            <w:r>
              <w:rPr>
                <w:rFonts w:hint="eastAsia" w:ascii="宋体" w:cs="宋体"/>
                <w:szCs w:val="21"/>
              </w:rPr>
              <w:t>,</w:t>
            </w:r>
            <w:r>
              <w:rPr>
                <w:rFonts w:hint="eastAsia" w:ascii="宋体" w:hAnsi="宋体" w:cs="宋体"/>
                <w:szCs w:val="21"/>
              </w:rPr>
              <w:t>确保所采取 的纠正措施满足预期要求。</w:t>
            </w:r>
          </w:p>
          <w:p>
            <w:pPr>
              <w:ind w:firstLine="420" w:firstLineChars="200"/>
              <w:rPr>
                <w:rFonts w:ascii="宋体" w:cs="宋体"/>
                <w:szCs w:val="21"/>
              </w:rPr>
            </w:pPr>
            <w:r>
              <w:rPr>
                <w:rFonts w:hint="eastAsia" w:ascii="宋体" w:hAnsi="宋体" w:cs="宋体"/>
                <w:szCs w:val="21"/>
              </w:rPr>
              <w:t>内审中发现的不符合项已经采取纠正措施，整改完毕且有效。</w:t>
            </w:r>
          </w:p>
          <w:p>
            <w:pPr>
              <w:ind w:firstLine="420" w:firstLineChars="200"/>
              <w:rPr>
                <w:rFonts w:ascii="宋体" w:cs="宋体"/>
                <w:szCs w:val="21"/>
              </w:rPr>
            </w:pPr>
            <w:r>
              <w:rPr>
                <w:rFonts w:hint="eastAsia" w:ascii="宋体" w:hAnsi="宋体" w:cs="宋体"/>
                <w:szCs w:val="21"/>
              </w:rPr>
              <w:t>通过交谈，基本能清楚纠正和预防措施的控制要求。改进的示例包括纠正、纠正措施、持续改进。</w:t>
            </w:r>
          </w:p>
          <w:p>
            <w:pPr>
              <w:ind w:firstLine="420" w:firstLineChars="200"/>
              <w:rPr>
                <w:rFonts w:ascii="宋体" w:cs="宋体"/>
                <w:szCs w:val="21"/>
              </w:rPr>
            </w:pPr>
            <w:r>
              <w:rPr>
                <w:rFonts w:hint="eastAsia" w:ascii="宋体" w:hAnsi="宋体" w:cs="宋体"/>
                <w:szCs w:val="21"/>
              </w:rPr>
              <w:t>为确保公司提供给客户合格的产品和服务，公司开展检查和考核工作。</w:t>
            </w:r>
          </w:p>
          <w:p>
            <w:pPr>
              <w:rPr>
                <w:rFonts w:ascii="宋体" w:cs="宋体"/>
                <w:szCs w:val="21"/>
              </w:rPr>
            </w:pPr>
            <w:r>
              <w:rPr>
                <w:rFonts w:hint="eastAsia" w:ascii="宋体" w:hAnsi="宋体" w:cs="宋体"/>
                <w:szCs w:val="21"/>
              </w:rPr>
              <w:t>根据不同过程、不同产品和不同要求，采取不同的方法进行监视、测量和分析。无其他不符合发生。</w:t>
            </w:r>
          </w:p>
          <w:p>
            <w:pPr>
              <w:ind w:firstLine="420" w:firstLineChars="200"/>
              <w:rPr>
                <w:rFonts w:ascii="宋体" w:cs="宋体"/>
                <w:szCs w:val="21"/>
              </w:rPr>
            </w:pPr>
            <w:r>
              <w:rPr>
                <w:rFonts w:hint="eastAsia" w:ascii="宋体" w:hAnsi="宋体" w:cs="宋体"/>
                <w:szCs w:val="21"/>
              </w:rPr>
              <w:t>公司利用质量方针、目标、内审和外审、数据分析、纠正和预防措施以及管理评审，识别任何改进的机会，持续改进质量管理体系的适宜性、充分性和有效性。</w:t>
            </w:r>
          </w:p>
        </w:tc>
        <w:tc>
          <w:tcPr>
            <w:tcW w:w="709"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42" w:type="dxa"/>
            <w:vAlign w:val="center"/>
          </w:tcPr>
          <w:p>
            <w:pPr>
              <w:rPr>
                <w:rFonts w:ascii="宋体" w:cs="宋体"/>
                <w:szCs w:val="21"/>
              </w:rPr>
            </w:pPr>
            <w:r>
              <w:rPr>
                <w:rFonts w:hint="eastAsia" w:ascii="宋体" w:hAnsi="宋体" w:cs="宋体"/>
                <w:szCs w:val="21"/>
                <w:lang w:val="en-US" w:eastAsia="zh-CN"/>
              </w:rPr>
              <w:t>去年不符合</w:t>
            </w:r>
            <w:r>
              <w:rPr>
                <w:rFonts w:hint="eastAsia" w:ascii="宋体" w:hAnsi="宋体" w:cs="宋体"/>
                <w:szCs w:val="21"/>
              </w:rPr>
              <w:t>验证</w:t>
            </w:r>
          </w:p>
          <w:p>
            <w:pPr>
              <w:rPr>
                <w:rFonts w:hint="eastAsia" w:ascii="宋体" w:hAnsi="宋体" w:cs="宋体"/>
                <w:szCs w:val="21"/>
              </w:rPr>
            </w:pPr>
          </w:p>
          <w:p>
            <w:pPr>
              <w:rPr>
                <w:rFonts w:ascii="宋体" w:cs="宋体"/>
                <w:szCs w:val="21"/>
              </w:rPr>
            </w:pPr>
            <w:r>
              <w:rPr>
                <w:rFonts w:hint="eastAsia" w:ascii="宋体" w:hAnsi="宋体" w:cs="宋体"/>
                <w:szCs w:val="21"/>
              </w:rPr>
              <w:t>资质再确认</w:t>
            </w:r>
          </w:p>
          <w:p>
            <w:pPr>
              <w:rPr>
                <w:rFonts w:ascii="宋体" w:cs="宋体"/>
                <w:szCs w:val="21"/>
              </w:rPr>
            </w:pPr>
          </w:p>
          <w:p>
            <w:pPr>
              <w:rPr>
                <w:rFonts w:ascii="宋体" w:hAnsi="宋体" w:cs="宋体"/>
                <w:szCs w:val="21"/>
              </w:rPr>
            </w:pPr>
            <w:r>
              <w:rPr>
                <w:rFonts w:hint="eastAsia" w:ascii="宋体" w:hAnsi="宋体" w:cs="宋体"/>
                <w:szCs w:val="21"/>
              </w:rPr>
              <w:t>投诉或事故/政府主管部门监督抽查情况</w:t>
            </w:r>
          </w:p>
        </w:tc>
        <w:tc>
          <w:tcPr>
            <w:tcW w:w="1134" w:type="dxa"/>
            <w:vAlign w:val="center"/>
          </w:tcPr>
          <w:p>
            <w:pPr>
              <w:rPr>
                <w:rFonts w:ascii="宋体" w:cs="宋体"/>
                <w:szCs w:val="21"/>
              </w:rPr>
            </w:pPr>
          </w:p>
        </w:tc>
        <w:tc>
          <w:tcPr>
            <w:tcW w:w="11624" w:type="dxa"/>
          </w:tcPr>
          <w:p>
            <w:pPr>
              <w:rPr>
                <w:rFonts w:hint="default" w:eastAsia="宋体" w:cs="Lucida Sans"/>
                <w:b/>
                <w:lang w:val="en-US" w:eastAsia="zh-CN"/>
              </w:rPr>
            </w:pPr>
            <w:r>
              <w:rPr>
                <w:rFonts w:hint="eastAsia" w:ascii="宋体" w:hAnsi="宋体" w:cs="宋体"/>
                <w:szCs w:val="21"/>
                <w:lang w:val="en-US" w:eastAsia="zh-CN"/>
              </w:rPr>
              <w:t>去年不符合</w:t>
            </w:r>
            <w:r>
              <w:rPr>
                <w:rFonts w:hint="eastAsia" w:ascii="宋体" w:hAnsi="宋体" w:cs="宋体"/>
                <w:szCs w:val="21"/>
              </w:rPr>
              <w:t>验证：经现场查验</w:t>
            </w:r>
            <w:r>
              <w:rPr>
                <w:rFonts w:hint="eastAsia" w:ascii="宋体" w:hAnsi="宋体" w:cs="宋体"/>
                <w:szCs w:val="21"/>
                <w:lang w:val="en-US" w:eastAsia="zh-CN"/>
              </w:rPr>
              <w:t>项目部</w:t>
            </w:r>
            <w:r>
              <w:rPr>
                <w:rFonts w:hint="eastAsia" w:ascii="宋体" w:hAnsi="宋体" w:cs="宋体"/>
                <w:szCs w:val="21"/>
              </w:rPr>
              <w:t>Q8.4.2</w:t>
            </w:r>
            <w:r>
              <w:rPr>
                <w:rFonts w:hint="eastAsia" w:ascii="宋体" w:hAnsi="宋体" w:cs="宋体"/>
                <w:szCs w:val="21"/>
                <w:lang w:val="en-US" w:eastAsia="zh-CN"/>
              </w:rPr>
              <w:t>/</w:t>
            </w:r>
            <w:r>
              <w:rPr>
                <w:rFonts w:hint="eastAsia" w:ascii="宋体" w:hAnsi="宋体" w:cs="宋体"/>
                <w:szCs w:val="21"/>
              </w:rPr>
              <w:t>J8.2.2</w:t>
            </w:r>
            <w:r>
              <w:rPr>
                <w:rFonts w:hint="eastAsia" w:ascii="宋体" w:hAnsi="宋体" w:cs="宋体"/>
                <w:szCs w:val="21"/>
                <w:lang w:val="en-US" w:eastAsia="zh-CN"/>
              </w:rPr>
              <w:t>未出现类视情况</w:t>
            </w:r>
          </w:p>
          <w:p>
            <w:pPr>
              <w:ind w:firstLine="420" w:firstLineChars="200"/>
              <w:rPr>
                <w:rFonts w:ascii="宋体" w:hAnsi="宋体" w:cs="宋体"/>
                <w:szCs w:val="21"/>
              </w:rPr>
            </w:pPr>
          </w:p>
          <w:p>
            <w:pPr>
              <w:ind w:firstLine="420" w:firstLineChars="200"/>
              <w:rPr>
                <w:rFonts w:hint="eastAsia" w:ascii="宋体" w:hAnsi="宋体" w:cs="宋体"/>
                <w:szCs w:val="21"/>
              </w:rPr>
            </w:pPr>
            <w:r>
              <w:rPr>
                <w:rFonts w:hint="eastAsia" w:ascii="宋体" w:hAnsi="宋体" w:cs="宋体"/>
                <w:szCs w:val="21"/>
              </w:rPr>
              <w:t>资质验证  企业提供营业执照,企业资质在范围内(见附件)</w:t>
            </w:r>
          </w:p>
          <w:p>
            <w:pPr>
              <w:ind w:firstLine="420" w:firstLineChars="200"/>
              <w:rPr>
                <w:rFonts w:ascii="宋体" w:hAnsi="宋体" w:cs="宋体"/>
                <w:szCs w:val="21"/>
              </w:rPr>
            </w:pPr>
          </w:p>
          <w:p>
            <w:pPr>
              <w:ind w:firstLine="420" w:firstLineChars="200"/>
              <w:rPr>
                <w:rFonts w:ascii="宋体" w:hAnsi="宋体" w:cs="宋体"/>
                <w:szCs w:val="21"/>
              </w:rPr>
            </w:pPr>
            <w:r>
              <w:rPr>
                <w:rFonts w:hint="eastAsia" w:ascii="宋体" w:hAnsi="宋体" w:cs="宋体"/>
                <w:szCs w:val="21"/>
              </w:rPr>
              <w:t>投诉或事故:无</w:t>
            </w:r>
          </w:p>
          <w:p>
            <w:pPr>
              <w:ind w:firstLine="420" w:firstLineChars="200"/>
              <w:rPr>
                <w:rFonts w:ascii="宋体" w:cs="宋体"/>
                <w:szCs w:val="21"/>
              </w:rPr>
            </w:pPr>
            <w:r>
              <w:rPr>
                <w:rFonts w:hint="eastAsia" w:ascii="宋体" w:hAnsi="宋体" w:cs="宋体"/>
                <w:szCs w:val="21"/>
              </w:rPr>
              <w:t>政府主管部门监督抽查情况:无</w:t>
            </w:r>
          </w:p>
        </w:tc>
        <w:tc>
          <w:tcPr>
            <w:tcW w:w="709" w:type="dxa"/>
          </w:tcPr>
          <w:p>
            <w:pPr>
              <w:rPr>
                <w:rFonts w:ascii="宋体" w:hAnsi="宋体"/>
                <w:szCs w:val="21"/>
              </w:rPr>
            </w:pPr>
          </w:p>
        </w:tc>
      </w:tr>
    </w:tbl>
    <w:p>
      <w:r>
        <w:ptab w:relativeTo="margin" w:alignment="center" w:leader="none"/>
      </w:r>
    </w:p>
    <w:p>
      <w:pPr>
        <w:pStyle w:val="4"/>
        <w:rPr>
          <w:rFonts w:hint="eastAsia"/>
        </w:rPr>
      </w:pPr>
      <w:r>
        <w:rPr>
          <w:rFonts w:hint="eastAsia"/>
        </w:rPr>
        <w:t>说明：不符合标注N</w:t>
      </w:r>
    </w:p>
    <w:p>
      <w:pPr>
        <w:pStyle w:val="4"/>
        <w:rPr>
          <w:rFonts w:hint="eastAsia"/>
        </w:rPr>
      </w:pPr>
    </w:p>
    <w:p>
      <w:pPr>
        <w:pStyle w:val="4"/>
        <w:rPr>
          <w:rFonts w:hint="eastAsia"/>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rPr>
      </w:pPr>
      <w:r>
        <w:rPr>
          <w:rFonts w:hint="eastAsia" w:ascii="隶书" w:hAnsi="宋体" w:eastAsia="隶书"/>
          <w:bCs/>
          <w:color w:val="000000"/>
          <w:sz w:val="36"/>
          <w:szCs w:val="36"/>
        </w:rPr>
        <w:t>管理体系审核记录表</w:t>
      </w:r>
    </w:p>
    <w:p>
      <w:pPr>
        <w:pStyle w:val="4"/>
        <w:rPr>
          <w:rFonts w:hint="eastAsia"/>
        </w:rPr>
      </w:pP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1624"/>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242" w:type="dxa"/>
            <w:vMerge w:val="restart"/>
            <w:vAlign w:val="center"/>
          </w:tcPr>
          <w:p>
            <w:pPr>
              <w:spacing w:before="120"/>
              <w:jc w:val="center"/>
              <w:rPr>
                <w:rFonts w:ascii="宋体" w:hAnsi="宋体"/>
                <w:szCs w:val="21"/>
              </w:rPr>
            </w:pPr>
            <w:r>
              <w:rPr>
                <w:rFonts w:hint="eastAsia" w:ascii="宋体" w:hAnsi="宋体"/>
                <w:szCs w:val="21"/>
              </w:rPr>
              <w:t>过程与活动、</w:t>
            </w:r>
          </w:p>
          <w:p>
            <w:pPr>
              <w:jc w:val="center"/>
              <w:rPr>
                <w:rFonts w:ascii="宋体" w:hAnsi="宋体"/>
                <w:szCs w:val="21"/>
              </w:rPr>
            </w:pPr>
            <w:r>
              <w:rPr>
                <w:rFonts w:hint="eastAsia" w:ascii="宋体" w:hAnsi="宋体"/>
                <w:szCs w:val="21"/>
              </w:rPr>
              <w:t>抽样计划</w:t>
            </w:r>
          </w:p>
        </w:tc>
        <w:tc>
          <w:tcPr>
            <w:tcW w:w="1134" w:type="dxa"/>
            <w:vMerge w:val="restart"/>
            <w:vAlign w:val="center"/>
          </w:tcPr>
          <w:p>
            <w:pPr>
              <w:rPr>
                <w:rFonts w:ascii="宋体" w:hAnsi="宋体"/>
                <w:szCs w:val="21"/>
              </w:rPr>
            </w:pPr>
            <w:r>
              <w:rPr>
                <w:rFonts w:hint="eastAsia" w:ascii="宋体" w:hAnsi="宋体"/>
                <w:szCs w:val="21"/>
              </w:rPr>
              <w:t>涉及</w:t>
            </w:r>
          </w:p>
          <w:p>
            <w:pPr>
              <w:rPr>
                <w:rFonts w:ascii="宋体" w:hAnsi="宋体"/>
                <w:szCs w:val="21"/>
              </w:rPr>
            </w:pPr>
            <w:r>
              <w:rPr>
                <w:rFonts w:hint="eastAsia" w:ascii="宋体" w:hAnsi="宋体"/>
                <w:szCs w:val="21"/>
              </w:rPr>
              <w:t>条款</w:t>
            </w:r>
          </w:p>
        </w:tc>
        <w:tc>
          <w:tcPr>
            <w:tcW w:w="11624" w:type="dxa"/>
            <w:vAlign w:val="center"/>
          </w:tcPr>
          <w:p>
            <w:pPr>
              <w:rPr>
                <w:rFonts w:ascii="宋体" w:hAnsi="宋体"/>
                <w:szCs w:val="21"/>
              </w:rPr>
            </w:pPr>
            <w:r>
              <w:rPr>
                <w:rFonts w:hint="eastAsia" w:ascii="宋体" w:hAnsi="宋体"/>
                <w:szCs w:val="21"/>
              </w:rPr>
              <w:t xml:space="preserve">受审核部门：管理层    </w:t>
            </w:r>
            <w:r>
              <w:rPr>
                <w:rFonts w:hint="eastAsia" w:ascii="宋体" w:hAnsi="宋体"/>
                <w:szCs w:val="21"/>
                <w:lang w:val="en-US" w:eastAsia="zh-CN"/>
              </w:rPr>
              <w:t xml:space="preserve">           </w:t>
            </w:r>
            <w:r>
              <w:rPr>
                <w:rFonts w:hint="eastAsia" w:ascii="宋体" w:hAnsi="宋体"/>
                <w:szCs w:val="21"/>
              </w:rPr>
              <w:t xml:space="preserve">  总经理：徐明君    </w:t>
            </w:r>
            <w:r>
              <w:rPr>
                <w:rFonts w:hint="eastAsia" w:ascii="宋体" w:hAnsi="宋体"/>
                <w:szCs w:val="21"/>
                <w:lang w:val="en-US" w:eastAsia="zh-CN"/>
              </w:rPr>
              <w:t xml:space="preserve">       </w:t>
            </w:r>
            <w:r>
              <w:rPr>
                <w:rFonts w:hint="eastAsia" w:ascii="宋体" w:hAnsi="宋体"/>
                <w:szCs w:val="21"/>
              </w:rPr>
              <w:t>陪同人员：陶美延</w:t>
            </w:r>
          </w:p>
        </w:tc>
        <w:tc>
          <w:tcPr>
            <w:tcW w:w="709" w:type="dxa"/>
            <w:vMerge w:val="restart"/>
            <w:vAlign w:val="center"/>
          </w:tcPr>
          <w:p>
            <w:pPr>
              <w:rPr>
                <w:rFonts w:ascii="宋体" w:hAnsi="宋体"/>
                <w:szCs w:val="21"/>
              </w:rPr>
            </w:pPr>
            <w:r>
              <w:rPr>
                <w:rFonts w:hint="eastAsia" w:ascii="宋体" w:hAnsi="宋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42" w:type="dxa"/>
            <w:vMerge w:val="continue"/>
            <w:vAlign w:val="center"/>
          </w:tcPr>
          <w:p>
            <w:pPr>
              <w:rPr>
                <w:rFonts w:ascii="宋体" w:hAnsi="宋体"/>
                <w:szCs w:val="21"/>
              </w:rPr>
            </w:pPr>
          </w:p>
        </w:tc>
        <w:tc>
          <w:tcPr>
            <w:tcW w:w="1134" w:type="dxa"/>
            <w:vMerge w:val="continue"/>
            <w:vAlign w:val="center"/>
          </w:tcPr>
          <w:p>
            <w:pPr>
              <w:rPr>
                <w:rFonts w:ascii="宋体" w:hAnsi="宋体"/>
                <w:szCs w:val="21"/>
              </w:rPr>
            </w:pPr>
          </w:p>
        </w:tc>
        <w:tc>
          <w:tcPr>
            <w:tcW w:w="11624" w:type="dxa"/>
            <w:vAlign w:val="center"/>
          </w:tcPr>
          <w:p>
            <w:pPr>
              <w:spacing w:before="120"/>
              <w:rPr>
                <w:rFonts w:ascii="宋体" w:hAnsi="宋体"/>
                <w:szCs w:val="21"/>
              </w:rPr>
            </w:pPr>
            <w:r>
              <w:rPr>
                <w:rFonts w:hint="eastAsia" w:ascii="宋体" w:hAnsi="宋体"/>
                <w:szCs w:val="21"/>
              </w:rPr>
              <w:t>审核员：</w:t>
            </w:r>
            <w:r>
              <w:rPr>
                <w:rFonts w:hint="eastAsia" w:ascii="宋体" w:hAnsi="宋体"/>
                <w:szCs w:val="21"/>
                <w:lang w:val="en-US" w:eastAsia="zh-CN"/>
              </w:rPr>
              <w:t>李林</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审核时间：20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10</w:t>
            </w:r>
            <w:r>
              <w:rPr>
                <w:rFonts w:hint="eastAsia" w:ascii="宋体" w:hAnsi="宋体"/>
                <w:szCs w:val="21"/>
              </w:rPr>
              <w:t>月</w:t>
            </w:r>
            <w:r>
              <w:rPr>
                <w:rFonts w:hint="eastAsia" w:ascii="宋体" w:hAnsi="宋体"/>
                <w:szCs w:val="21"/>
                <w:lang w:val="en-US" w:eastAsia="zh-CN"/>
              </w:rPr>
              <w:t>10</w:t>
            </w:r>
            <w:r>
              <w:rPr>
                <w:rFonts w:hint="eastAsia" w:ascii="宋体" w:hAnsi="宋体"/>
                <w:szCs w:val="21"/>
              </w:rPr>
              <w:t>日</w:t>
            </w:r>
          </w:p>
        </w:tc>
        <w:tc>
          <w:tcPr>
            <w:tcW w:w="709" w:type="dxa"/>
            <w:vMerge w:val="continue"/>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242" w:type="dxa"/>
            <w:vMerge w:val="continue"/>
            <w:vAlign w:val="center"/>
          </w:tcPr>
          <w:p>
            <w:pPr>
              <w:rPr>
                <w:rFonts w:ascii="宋体" w:hAnsi="宋体"/>
                <w:szCs w:val="21"/>
              </w:rPr>
            </w:pPr>
          </w:p>
        </w:tc>
        <w:tc>
          <w:tcPr>
            <w:tcW w:w="1134" w:type="dxa"/>
            <w:vMerge w:val="continue"/>
            <w:vAlign w:val="center"/>
          </w:tcPr>
          <w:p>
            <w:pPr>
              <w:rPr>
                <w:rFonts w:ascii="宋体" w:hAnsi="宋体"/>
                <w:szCs w:val="21"/>
              </w:rPr>
            </w:pPr>
          </w:p>
        </w:tc>
        <w:tc>
          <w:tcPr>
            <w:tcW w:w="11624" w:type="dxa"/>
            <w:vAlign w:val="center"/>
          </w:tcPr>
          <w:p>
            <w:pPr>
              <w:rPr>
                <w:rFonts w:hint="default" w:ascii="宋体" w:hAnsi="宋体" w:eastAsia="宋体"/>
                <w:szCs w:val="21"/>
                <w:lang w:val="en-US" w:eastAsia="zh-CN"/>
              </w:rPr>
            </w:pPr>
            <w:r>
              <w:rPr>
                <w:rFonts w:hint="eastAsia" w:ascii="宋体" w:hAnsi="宋体"/>
                <w:szCs w:val="21"/>
              </w:rPr>
              <w:t>审核条款：</w:t>
            </w:r>
            <w:r>
              <w:rPr>
                <w:rFonts w:hint="eastAsia" w:ascii="宋体" w:hAnsi="宋体"/>
                <w:szCs w:val="21"/>
                <w:lang w:val="en-US" w:eastAsia="zh-CN"/>
              </w:rPr>
              <w:t>E5.3  6.2</w:t>
            </w:r>
          </w:p>
        </w:tc>
        <w:tc>
          <w:tcPr>
            <w:tcW w:w="709" w:type="dxa"/>
            <w:vMerge w:val="continue"/>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42" w:type="dxa"/>
            <w:vAlign w:val="center"/>
          </w:tcPr>
          <w:p>
            <w:pPr>
              <w:rPr>
                <w:rFonts w:ascii="宋体" w:cs="宋体"/>
                <w:szCs w:val="21"/>
              </w:rPr>
            </w:pPr>
            <w:r>
              <w:rPr>
                <w:rFonts w:hint="eastAsia" w:ascii="宋体" w:hAnsi="宋体" w:cs="宋体"/>
                <w:szCs w:val="21"/>
              </w:rPr>
              <w:t>组织的岗位、职责和权限，工作人员的协商和参与</w:t>
            </w:r>
          </w:p>
        </w:tc>
        <w:tc>
          <w:tcPr>
            <w:tcW w:w="1134" w:type="dxa"/>
            <w:vAlign w:val="center"/>
          </w:tcPr>
          <w:p>
            <w:pPr>
              <w:rPr>
                <w:rFonts w:ascii="宋体" w:hAnsi="宋体" w:cs="宋体"/>
                <w:szCs w:val="21"/>
              </w:rPr>
            </w:pPr>
            <w:r>
              <w:rPr>
                <w:rFonts w:hint="eastAsia" w:ascii="宋体" w:hAnsi="宋体" w:cs="宋体"/>
                <w:szCs w:val="21"/>
                <w:lang w:val="en-US" w:eastAsia="zh-CN"/>
              </w:rPr>
              <w:t>E</w:t>
            </w:r>
            <w:r>
              <w:rPr>
                <w:rFonts w:hint="eastAsia" w:ascii="宋体" w:hAnsi="宋体" w:cs="宋体"/>
                <w:szCs w:val="21"/>
              </w:rPr>
              <w:t>5.3</w:t>
            </w:r>
          </w:p>
        </w:tc>
        <w:tc>
          <w:tcPr>
            <w:tcW w:w="11624" w:type="dxa"/>
            <w:vAlign w:val="center"/>
          </w:tcPr>
          <w:p>
            <w:pPr>
              <w:ind w:firstLine="420" w:firstLineChars="200"/>
              <w:rPr>
                <w:rFonts w:ascii="宋体" w:cs="宋体"/>
                <w:szCs w:val="21"/>
              </w:rPr>
            </w:pPr>
            <w:r>
              <w:rPr>
                <w:rFonts w:hint="eastAsia"/>
                <w:szCs w:val="21"/>
              </w:rPr>
              <w:t>查到组织结构图，见各级各岗位人员职责、权限和相互关系。并见《人力资源管理控制程序》QEOP6-1和《岗位描述书》，规定了控制要求</w:t>
            </w:r>
            <w:r>
              <w:rPr>
                <w:rFonts w:hint="eastAsia" w:ascii="宋体" w:hAnsi="宋体" w:cs="宋体"/>
                <w:szCs w:val="21"/>
              </w:rPr>
              <w:t>并在公司内对各级员工进行了必要的传达。对从事与质量、环境、安全有关的管理、执行的人员规定其职责、权限及其相互关系。</w:t>
            </w:r>
          </w:p>
          <w:p>
            <w:pPr>
              <w:ind w:firstLine="420" w:firstLineChars="200"/>
              <w:rPr>
                <w:rFonts w:ascii="宋体" w:cs="宋体"/>
                <w:szCs w:val="21"/>
              </w:rPr>
            </w:pPr>
            <w:r>
              <w:rPr>
                <w:rFonts w:hint="eastAsia"/>
                <w:szCs w:val="21"/>
              </w:rPr>
              <w:t>查到任命书：</w:t>
            </w:r>
            <w:r>
              <w:rPr>
                <w:rFonts w:hint="eastAsia" w:ascii="宋体" w:hAnsi="宋体" w:cs="宋体"/>
                <w:szCs w:val="21"/>
              </w:rPr>
              <w:t>陶美廷</w:t>
            </w:r>
            <w:r>
              <w:rPr>
                <w:rFonts w:hint="eastAsia"/>
                <w:szCs w:val="21"/>
              </w:rPr>
              <w:t>为</w:t>
            </w:r>
            <w:r>
              <w:rPr>
                <w:rFonts w:hint="eastAsia" w:ascii="宋体" w:hAnsi="宋体" w:cs="宋体"/>
                <w:szCs w:val="21"/>
              </w:rPr>
              <w:t>公司管理者代表，盛明羊为员工代表。 与他们交</w:t>
            </w:r>
            <w:r>
              <w:rPr>
                <w:rFonts w:hint="eastAsia" w:ascii="宋体" w:hAnsi="宋体" w:cs="宋体"/>
                <w:szCs w:val="21"/>
                <w:lang w:val="en-GB"/>
              </w:rPr>
              <w:t>谈，</w:t>
            </w:r>
            <w:r>
              <w:rPr>
                <w:rFonts w:hint="eastAsia" w:ascii="宋体" w:hAnsi="宋体" w:cs="宋体"/>
                <w:szCs w:val="21"/>
              </w:rPr>
              <w:t>其清楚自己的职责：负责向管理层反映职</w:t>
            </w:r>
            <w:r>
              <w:rPr>
                <w:rFonts w:hint="eastAsia"/>
                <w:szCs w:val="21"/>
              </w:rPr>
              <w:t>工职业健康安全管理方面的要求，对事件的调查、处理，职工劳动防护的改善事宜进行协商交流；参与职业安全健康方针、目标、指标、管理方案的制定工作，提出合理化建议</w:t>
            </w:r>
            <w:r>
              <w:rPr>
                <w:szCs w:val="21"/>
              </w:rPr>
              <w:t>;</w:t>
            </w:r>
            <w:r>
              <w:rPr>
                <w:rFonts w:hint="eastAsia"/>
                <w:szCs w:val="21"/>
              </w:rPr>
              <w:t>工作人员代表能够作为协商和参与的机制。</w:t>
            </w:r>
          </w:p>
        </w:tc>
        <w:tc>
          <w:tcPr>
            <w:tcW w:w="709"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42" w:type="dxa"/>
            <w:vAlign w:val="center"/>
          </w:tcPr>
          <w:p>
            <w:pPr>
              <w:rPr>
                <w:rFonts w:ascii="宋体" w:hAnsi="宋体" w:cs="宋体"/>
                <w:szCs w:val="21"/>
              </w:rPr>
            </w:pPr>
            <w:r>
              <w:rPr>
                <w:rFonts w:hint="eastAsia" w:ascii="宋体" w:hAnsi="宋体" w:cs="宋体"/>
                <w:szCs w:val="21"/>
              </w:rPr>
              <w:t>管理目标及其实现的策划</w:t>
            </w:r>
          </w:p>
        </w:tc>
        <w:tc>
          <w:tcPr>
            <w:tcW w:w="1134" w:type="dxa"/>
            <w:vAlign w:val="center"/>
          </w:tcPr>
          <w:p>
            <w:pPr>
              <w:rPr>
                <w:rFonts w:hint="default" w:ascii="宋体" w:hAnsi="宋体" w:eastAsia="宋体" w:cs="宋体"/>
                <w:szCs w:val="21"/>
                <w:lang w:val="en-US" w:eastAsia="zh-CN"/>
              </w:rPr>
            </w:pPr>
            <w:r>
              <w:rPr>
                <w:rFonts w:hint="eastAsia" w:ascii="宋体" w:hAnsi="宋体" w:cs="宋体"/>
                <w:szCs w:val="21"/>
                <w:lang w:val="en-US" w:eastAsia="zh-CN"/>
              </w:rPr>
              <w:t>E6.2</w:t>
            </w:r>
          </w:p>
        </w:tc>
        <w:tc>
          <w:tcPr>
            <w:tcW w:w="11624" w:type="dxa"/>
            <w:vAlign w:val="center"/>
          </w:tcPr>
          <w:p>
            <w:pPr>
              <w:ind w:firstLine="420" w:firstLineChars="200"/>
              <w:rPr>
                <w:rFonts w:ascii="宋体" w:cs="宋体"/>
                <w:szCs w:val="21"/>
              </w:rPr>
            </w:pPr>
            <w:r>
              <w:rPr>
                <w:rFonts w:hint="eastAsia" w:ascii="宋体" w:hAnsi="宋体" w:cs="宋体"/>
                <w:szCs w:val="21"/>
              </w:rPr>
              <w:t>总经理负责组织制定公司的管理目标，并在公司各部门进行分解，制定时考虑了公司的质量过程及其风险和机遇。</w:t>
            </w:r>
          </w:p>
          <w:p>
            <w:pPr>
              <w:overflowPunct w:val="0"/>
              <w:autoSpaceDE w:val="0"/>
              <w:autoSpaceDN w:val="0"/>
              <w:adjustRightInd w:val="0"/>
              <w:spacing w:line="360" w:lineRule="auto"/>
              <w:rPr>
                <w:rFonts w:ascii="宋体" w:hAnsi="宋体"/>
                <w:szCs w:val="21"/>
              </w:rPr>
            </w:pPr>
            <w:r>
              <w:rPr>
                <w:rFonts w:hint="eastAsia" w:ascii="宋体" w:hAnsi="宋体"/>
                <w:b/>
                <w:szCs w:val="21"/>
              </w:rPr>
              <w:t>查到公司总目标;</w:t>
            </w:r>
            <w:r>
              <w:rPr>
                <w:rFonts w:hint="eastAsia" w:ascii="宋体" w:hAnsi="宋体"/>
                <w:szCs w:val="21"/>
              </w:rPr>
              <w:t xml:space="preserve">      </w:t>
            </w:r>
          </w:p>
          <w:p>
            <w:pPr>
              <w:overflowPunct w:val="0"/>
              <w:autoSpaceDE w:val="0"/>
              <w:autoSpaceDN w:val="0"/>
              <w:adjustRightInd w:val="0"/>
              <w:spacing w:line="360" w:lineRule="auto"/>
              <w:rPr>
                <w:rFonts w:ascii="宋体" w:hAnsi="宋体"/>
                <w:szCs w:val="21"/>
              </w:rPr>
            </w:pPr>
            <w:r>
              <w:rPr>
                <w:rFonts w:hint="eastAsia" w:ascii="宋体" w:hAnsi="宋体"/>
                <w:szCs w:val="21"/>
                <w:lang w:val="en-US" w:eastAsia="zh-CN"/>
              </w:rPr>
              <w:t>1</w:t>
            </w:r>
            <w:r>
              <w:rPr>
                <w:rFonts w:hint="eastAsia" w:ascii="宋体" w:hAnsi="宋体"/>
                <w:szCs w:val="21"/>
              </w:rPr>
              <w:t>、固体废弃物100%分类处理</w:t>
            </w:r>
          </w:p>
          <w:p>
            <w:pPr>
              <w:overflowPunct w:val="0"/>
              <w:autoSpaceDE w:val="0"/>
              <w:autoSpaceDN w:val="0"/>
              <w:adjustRightInd w:val="0"/>
              <w:spacing w:line="360" w:lineRule="auto"/>
              <w:rPr>
                <w:rFonts w:ascii="宋体" w:hAnsi="宋体"/>
                <w:szCs w:val="21"/>
              </w:rPr>
            </w:pPr>
            <w:r>
              <w:rPr>
                <w:rFonts w:hint="eastAsia" w:ascii="宋体" w:hAnsi="宋体"/>
                <w:szCs w:val="21"/>
                <w:lang w:val="en-US" w:eastAsia="zh-CN"/>
              </w:rPr>
              <w:t>2</w:t>
            </w:r>
            <w:r>
              <w:rPr>
                <w:rFonts w:hint="eastAsia" w:ascii="宋体" w:hAnsi="宋体"/>
                <w:szCs w:val="21"/>
              </w:rPr>
              <w:t>.火灾事故发生率为0</w:t>
            </w:r>
          </w:p>
          <w:p>
            <w:pPr>
              <w:rPr>
                <w:rFonts w:ascii="宋体" w:hAnsi="宋体" w:cs="宋体"/>
                <w:szCs w:val="21"/>
              </w:rPr>
            </w:pPr>
            <w:r>
              <w:rPr>
                <w:rFonts w:hint="eastAsia" w:ascii="宋体" w:hAnsi="宋体" w:cs="宋体"/>
                <w:szCs w:val="21"/>
              </w:rPr>
              <w:t xml:space="preserve">    提供《目标指标完成情况统计表》,</w:t>
            </w:r>
            <w:r>
              <w:rPr>
                <w:rFonts w:hint="eastAsia"/>
              </w:rPr>
              <w:t xml:space="preserve"> </w:t>
            </w:r>
            <w:r>
              <w:rPr>
                <w:rFonts w:hint="eastAsia" w:ascii="宋体" w:hAnsi="宋体" w:cs="宋体"/>
                <w:szCs w:val="21"/>
              </w:rPr>
              <w:t>统计时间：20</w:t>
            </w:r>
            <w:r>
              <w:rPr>
                <w:rFonts w:hint="eastAsia" w:ascii="宋体" w:hAnsi="宋体" w:cs="宋体"/>
                <w:szCs w:val="21"/>
                <w:lang w:val="en-US" w:eastAsia="zh-CN"/>
              </w:rPr>
              <w:t>20.10.30</w:t>
            </w:r>
            <w:r>
              <w:rPr>
                <w:rFonts w:hint="eastAsia" w:ascii="宋体" w:hAnsi="宋体" w:cs="宋体"/>
                <w:szCs w:val="21"/>
              </w:rPr>
              <w:t>,</w:t>
            </w:r>
            <w:r>
              <w:rPr>
                <w:rFonts w:hint="eastAsia"/>
              </w:rPr>
              <w:t xml:space="preserve"> </w:t>
            </w:r>
            <w:r>
              <w:rPr>
                <w:rFonts w:hint="eastAsia" w:ascii="宋体" w:hAnsi="宋体" w:cs="宋体"/>
                <w:szCs w:val="21"/>
              </w:rPr>
              <w:t>统计宋亚娟，审核陶美廷,以上目标指标均已完成，管理方案规定了措施方法、完成时间表、责任人、资金等情况。详见各部门记录。</w:t>
            </w:r>
          </w:p>
        </w:tc>
        <w:tc>
          <w:tcPr>
            <w:tcW w:w="709" w:type="dxa"/>
          </w:tcPr>
          <w:p>
            <w:pPr>
              <w:rPr>
                <w:rFonts w:ascii="宋体" w:hAnsi="宋体"/>
                <w:szCs w:val="21"/>
              </w:rPr>
            </w:pPr>
          </w:p>
        </w:tc>
      </w:tr>
    </w:tbl>
    <w:p>
      <w:pPr>
        <w:pStyle w:val="4"/>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Lucida Sans">
    <w:panose1 w:val="020B0602030504020204"/>
    <w:charset w:val="00"/>
    <w:family w:val="swiss"/>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jc w:val="left"/>
    </w:pPr>
    <w:r>
      <w:pict>
        <v:shape id="_x0000_s1025" o:spid="_x0000_s1025"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lang w:val="en-US" w:eastAsia="zh-CN"/>
                  </w:rPr>
                  <w:t>I-12</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FBC2A2"/>
    <w:multiLevelType w:val="singleLevel"/>
    <w:tmpl w:val="73FBC2A2"/>
    <w:lvl w:ilvl="0" w:tentative="0">
      <w:start w:val="1"/>
      <w:numFmt w:val="decimal"/>
      <w:suff w:val="nothing"/>
      <w:lvlText w:val="（%1）"/>
      <w:lvlJc w:val="left"/>
      <w:pPr>
        <w:ind w:left="0" w:firstLine="0"/>
      </w:pPr>
      <w:rPr>
        <w:rFonts w:cs="Times New Roman"/>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C7755E"/>
    <w:rsid w:val="00006402"/>
    <w:rsid w:val="00006ADB"/>
    <w:rsid w:val="00030034"/>
    <w:rsid w:val="00034946"/>
    <w:rsid w:val="0004353F"/>
    <w:rsid w:val="0004680E"/>
    <w:rsid w:val="00046DF2"/>
    <w:rsid w:val="00061C24"/>
    <w:rsid w:val="000A1716"/>
    <w:rsid w:val="000B0D9D"/>
    <w:rsid w:val="000B2922"/>
    <w:rsid w:val="000B6148"/>
    <w:rsid w:val="000C0D8A"/>
    <w:rsid w:val="000C3185"/>
    <w:rsid w:val="000C6FF9"/>
    <w:rsid w:val="000D5A2C"/>
    <w:rsid w:val="00103B83"/>
    <w:rsid w:val="00133653"/>
    <w:rsid w:val="001708D8"/>
    <w:rsid w:val="00172588"/>
    <w:rsid w:val="00174FDF"/>
    <w:rsid w:val="001C55FB"/>
    <w:rsid w:val="00216623"/>
    <w:rsid w:val="00221CA0"/>
    <w:rsid w:val="002369C3"/>
    <w:rsid w:val="00261039"/>
    <w:rsid w:val="00264A65"/>
    <w:rsid w:val="002B6666"/>
    <w:rsid w:val="003017F3"/>
    <w:rsid w:val="00370F7A"/>
    <w:rsid w:val="00376A16"/>
    <w:rsid w:val="003A4C0C"/>
    <w:rsid w:val="003A692B"/>
    <w:rsid w:val="003B0678"/>
    <w:rsid w:val="003D0944"/>
    <w:rsid w:val="003E3F88"/>
    <w:rsid w:val="00433FB8"/>
    <w:rsid w:val="0047507B"/>
    <w:rsid w:val="0048798E"/>
    <w:rsid w:val="004C7497"/>
    <w:rsid w:val="004D06A0"/>
    <w:rsid w:val="004D5F2A"/>
    <w:rsid w:val="004F0557"/>
    <w:rsid w:val="005024CD"/>
    <w:rsid w:val="0051491B"/>
    <w:rsid w:val="0053202B"/>
    <w:rsid w:val="005559D7"/>
    <w:rsid w:val="005739EB"/>
    <w:rsid w:val="00577D8C"/>
    <w:rsid w:val="005F4AEC"/>
    <w:rsid w:val="005F7F7A"/>
    <w:rsid w:val="00630360"/>
    <w:rsid w:val="00672432"/>
    <w:rsid w:val="006A4F18"/>
    <w:rsid w:val="00702692"/>
    <w:rsid w:val="00720DEB"/>
    <w:rsid w:val="0074661B"/>
    <w:rsid w:val="00781E60"/>
    <w:rsid w:val="007937E7"/>
    <w:rsid w:val="007A337A"/>
    <w:rsid w:val="007C43B9"/>
    <w:rsid w:val="007C7C65"/>
    <w:rsid w:val="007E1B3B"/>
    <w:rsid w:val="007E42FD"/>
    <w:rsid w:val="008021C4"/>
    <w:rsid w:val="008159DF"/>
    <w:rsid w:val="00821EB2"/>
    <w:rsid w:val="00831D8B"/>
    <w:rsid w:val="00861144"/>
    <w:rsid w:val="00865073"/>
    <w:rsid w:val="00874CA2"/>
    <w:rsid w:val="00896D53"/>
    <w:rsid w:val="008F083D"/>
    <w:rsid w:val="008F7877"/>
    <w:rsid w:val="00916251"/>
    <w:rsid w:val="00916471"/>
    <w:rsid w:val="00920240"/>
    <w:rsid w:val="00920B9E"/>
    <w:rsid w:val="009306BA"/>
    <w:rsid w:val="00942DAE"/>
    <w:rsid w:val="00986B39"/>
    <w:rsid w:val="0099439D"/>
    <w:rsid w:val="009B0D01"/>
    <w:rsid w:val="009B5EB4"/>
    <w:rsid w:val="009C2429"/>
    <w:rsid w:val="00A22E21"/>
    <w:rsid w:val="00A30939"/>
    <w:rsid w:val="00A627E6"/>
    <w:rsid w:val="00A674BA"/>
    <w:rsid w:val="00A94F52"/>
    <w:rsid w:val="00AA64CC"/>
    <w:rsid w:val="00AB0190"/>
    <w:rsid w:val="00AF5EF3"/>
    <w:rsid w:val="00B00A45"/>
    <w:rsid w:val="00B0281B"/>
    <w:rsid w:val="00B073F2"/>
    <w:rsid w:val="00B332DE"/>
    <w:rsid w:val="00BB4249"/>
    <w:rsid w:val="00BE473E"/>
    <w:rsid w:val="00BE7E5E"/>
    <w:rsid w:val="00BF1636"/>
    <w:rsid w:val="00BF3285"/>
    <w:rsid w:val="00C65BA7"/>
    <w:rsid w:val="00C70DFD"/>
    <w:rsid w:val="00C7755E"/>
    <w:rsid w:val="00CC55A2"/>
    <w:rsid w:val="00CE39B8"/>
    <w:rsid w:val="00D31767"/>
    <w:rsid w:val="00D71741"/>
    <w:rsid w:val="00D763A9"/>
    <w:rsid w:val="00D83DCB"/>
    <w:rsid w:val="00D87377"/>
    <w:rsid w:val="00D9062F"/>
    <w:rsid w:val="00D94614"/>
    <w:rsid w:val="00DA7488"/>
    <w:rsid w:val="00DB7B48"/>
    <w:rsid w:val="00DC16ED"/>
    <w:rsid w:val="00DE1B6D"/>
    <w:rsid w:val="00DF4B70"/>
    <w:rsid w:val="00DF73B3"/>
    <w:rsid w:val="00E233F6"/>
    <w:rsid w:val="00E2634C"/>
    <w:rsid w:val="00E71377"/>
    <w:rsid w:val="00EC5135"/>
    <w:rsid w:val="00ED65D2"/>
    <w:rsid w:val="00EE4918"/>
    <w:rsid w:val="00EF2632"/>
    <w:rsid w:val="00F10B6B"/>
    <w:rsid w:val="00F15A2B"/>
    <w:rsid w:val="00F23E80"/>
    <w:rsid w:val="00F54B1D"/>
    <w:rsid w:val="00F64B64"/>
    <w:rsid w:val="00F710F8"/>
    <w:rsid w:val="00F76FD2"/>
    <w:rsid w:val="00FA3772"/>
    <w:rsid w:val="00FA5B29"/>
    <w:rsid w:val="00FB1569"/>
    <w:rsid w:val="00FC1A9F"/>
    <w:rsid w:val="00FE7FD8"/>
    <w:rsid w:val="012E3AB5"/>
    <w:rsid w:val="043001AA"/>
    <w:rsid w:val="094D3F35"/>
    <w:rsid w:val="0EF90CBB"/>
    <w:rsid w:val="0F040CE1"/>
    <w:rsid w:val="10DB1AC1"/>
    <w:rsid w:val="11380657"/>
    <w:rsid w:val="1EE937E7"/>
    <w:rsid w:val="21C562A6"/>
    <w:rsid w:val="23882374"/>
    <w:rsid w:val="25C438E8"/>
    <w:rsid w:val="286007F9"/>
    <w:rsid w:val="2C7F3758"/>
    <w:rsid w:val="2CF43B2F"/>
    <w:rsid w:val="2E2A4409"/>
    <w:rsid w:val="328C640C"/>
    <w:rsid w:val="338D5A5D"/>
    <w:rsid w:val="35242AD7"/>
    <w:rsid w:val="37127E0B"/>
    <w:rsid w:val="3ABA57C7"/>
    <w:rsid w:val="3BF16011"/>
    <w:rsid w:val="3D971FF6"/>
    <w:rsid w:val="3E952373"/>
    <w:rsid w:val="3F6F26D9"/>
    <w:rsid w:val="40055845"/>
    <w:rsid w:val="40550293"/>
    <w:rsid w:val="40D96F04"/>
    <w:rsid w:val="440A0C5A"/>
    <w:rsid w:val="504F1954"/>
    <w:rsid w:val="52EB289C"/>
    <w:rsid w:val="56C13AC4"/>
    <w:rsid w:val="57EF00DE"/>
    <w:rsid w:val="580D400B"/>
    <w:rsid w:val="581B51A6"/>
    <w:rsid w:val="58AA4B26"/>
    <w:rsid w:val="5F194E76"/>
    <w:rsid w:val="627D6D55"/>
    <w:rsid w:val="63587FEB"/>
    <w:rsid w:val="658C72DF"/>
    <w:rsid w:val="69437489"/>
    <w:rsid w:val="6B0F5331"/>
    <w:rsid w:val="6DC3389E"/>
    <w:rsid w:val="6F33148B"/>
    <w:rsid w:val="6F6C43EB"/>
    <w:rsid w:val="6F6D528E"/>
    <w:rsid w:val="78DE4962"/>
    <w:rsid w:val="7A941493"/>
    <w:rsid w:val="7C700FB5"/>
    <w:rsid w:val="7C9951DC"/>
    <w:rsid w:val="7CD90C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3"/>
    <w:qFormat/>
    <w:uiPriority w:val="0"/>
    <w:rPr>
      <w:rFonts w:ascii="宋体" w:hAnsi="Courier New" w:cs="Courier New" w:eastAsiaTheme="minorEastAsia"/>
      <w:szCs w:val="21"/>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批注框文本 Char"/>
    <w:basedOn w:val="7"/>
    <w:link w:val="3"/>
    <w:semiHidden/>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纯文本 Char1"/>
    <w:link w:val="2"/>
    <w:qFormat/>
    <w:uiPriority w:val="0"/>
    <w:rPr>
      <w:rFonts w:ascii="宋体" w:hAnsi="Courier New" w:cs="Courier New"/>
      <w:kern w:val="2"/>
      <w:sz w:val="21"/>
      <w:szCs w:val="21"/>
    </w:rPr>
  </w:style>
  <w:style w:type="character" w:customStyle="1" w:styleId="13">
    <w:name w:val="纯文本 Char"/>
    <w:basedOn w:val="7"/>
    <w:link w:val="2"/>
    <w:semiHidden/>
    <w:qFormat/>
    <w:uiPriority w:val="99"/>
    <w:rPr>
      <w:rFonts w:ascii="宋体" w:hAnsi="Courier New" w:eastAsia="宋体" w:cs="Courier New"/>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778</Words>
  <Characters>4435</Characters>
  <Lines>36</Lines>
  <Paragraphs>10</Paragraphs>
  <TotalTime>7</TotalTime>
  <ScaleCrop>false</ScaleCrop>
  <LinksUpToDate>false</LinksUpToDate>
  <CharactersWithSpaces>5203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李凤仪</cp:lastModifiedBy>
  <dcterms:modified xsi:type="dcterms:W3CDTF">2020-11-29T06:10:47Z</dcterms:modified>
  <cp:revision>150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