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0570-2020-EO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浙江远大空分设备有限公司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E:18.02.06</w:t>
            </w:r>
          </w:p>
          <w:p>
            <w:pPr>
              <w:spacing w:line="240" w:lineRule="exact"/>
              <w:jc w:val="center"/>
              <w:rPr>
                <w:b/>
                <w:color w:val="000000"/>
                <w:sz w:val="20"/>
                <w:szCs w:val="20"/>
              </w:rPr>
            </w:pPr>
            <w:r>
              <w:rPr>
                <w:b/>
                <w:color w:val="000000"/>
                <w:sz w:val="20"/>
                <w:szCs w:val="20"/>
              </w:rPr>
              <w:t>O:18.02.06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浙江远大空分设备有限公司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杭州富阳区银湖街道泗洲村泗洲205号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311401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杭州富阳区银湖街道泗洲村泗洲205号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311401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曹晏琼</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0571-61712588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金象英</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曹晏琼</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E：PSA制氮装置、制氧装置、压缩空气净化设备的设计、制造（涉及行政许可的产品除外）所涉及的相关环境管理活动</w:t>
            </w:r>
          </w:p>
          <w:p>
            <w:pPr>
              <w:spacing w:line="400" w:lineRule="exact"/>
              <w:rPr>
                <w:rFonts w:ascii="宋体" w:hAnsi="宋体"/>
                <w:b/>
                <w:color w:val="000000"/>
                <w:sz w:val="20"/>
                <w:szCs w:val="20"/>
              </w:rPr>
            </w:pPr>
            <w:r>
              <w:rPr>
                <w:rFonts w:ascii="宋体" w:hAnsi="宋体"/>
                <w:b/>
                <w:color w:val="000000"/>
                <w:sz w:val="20"/>
                <w:szCs w:val="20"/>
              </w:rPr>
              <w:t>O：PSA制氮装置、制氧装置、压缩空气净化设备的设计、制造（涉及行政许可的产品除外）所涉及的相关职业健康安全管理活动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E：18.02.06</w:t>
            </w:r>
          </w:p>
          <w:p>
            <w:pPr>
              <w:spacing w:line="280" w:lineRule="exact"/>
              <w:rPr>
                <w:rFonts w:ascii="宋体"/>
                <w:b/>
                <w:color w:val="000000"/>
                <w:sz w:val="20"/>
                <w:szCs w:val="20"/>
              </w:rPr>
            </w:pPr>
            <w:r>
              <w:rPr>
                <w:rFonts w:ascii="宋体"/>
                <w:b/>
                <w:color w:val="000000"/>
                <w:sz w:val="20"/>
                <w:szCs w:val="20"/>
              </w:rPr>
              <w:t>O：18.02.06</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管理手册、程序文件、管理方针、目标、重要环境因素清单、不可接受风险清单；</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办公室、技术部、生产部、质检部、采购部、销售部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办公场所、生产车间（机加工、喷漆、抛丸、危废仓库）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PSA制氮装置、制氧装置、压缩空气净化设备</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办公室、技术部、生产部、质检部、采购部、销售部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杭州富阳区银湖街道泗洲村泗洲205号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安全生产标准化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b/>
                <w:sz w:val="20"/>
                <w:lang w:val="en-US" w:eastAsia="zh-CN"/>
              </w:rPr>
              <w:t>GB8978-1996《污水综合排放标准》、GB12348-2008《工业企业厂界环境噪声排放标准》、GB16297-1996《大气污染物综合排放标准》、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eastAsia"/>
                <w:b/>
                <w:sz w:val="20"/>
                <w:lang w:val="en-US" w:eastAsia="zh-CN"/>
              </w:rPr>
              <w:t>GBZ158-2013《工作场所职业病危害警示标识》、GBZ188-2014《职业健康监护技术规范》、GBZ2.1-2019《工作场所有害因素职业接触限值 第1部分：化学有害因素》、GBZ2.2-2017《工作场所有害因素职业接触限值 第2部分：物理因素》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b/>
                <w:sz w:val="20"/>
                <w:szCs w:val="22"/>
              </w:rPr>
              <w:t>合同签订——产品设计——原材料采购——组装——喷漆——调试——检验——包装——出/入库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叉车、桥式起重机械（5t行车4台；）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szCs w:val="22"/>
                <w:u w:val="single"/>
              </w:rPr>
              <w:t>噪声</w:t>
            </w:r>
            <w:r>
              <w:rPr>
                <w:rFonts w:hint="eastAsia" w:ascii="宋体" w:hAnsi="宋体"/>
                <w:szCs w:val="22"/>
                <w:u w:val="single"/>
                <w:lang w:eastAsia="zh-CN"/>
              </w:rPr>
              <w:t>、</w:t>
            </w:r>
            <w:r>
              <w:rPr>
                <w:rFonts w:hint="eastAsia" w:ascii="宋体" w:hAnsi="宋体"/>
                <w:szCs w:val="22"/>
                <w:u w:val="single"/>
              </w:rPr>
              <w:t>废水</w:t>
            </w:r>
            <w:r>
              <w:rPr>
                <w:rFonts w:hint="eastAsia" w:ascii="宋体" w:hAnsi="宋体"/>
                <w:szCs w:val="22"/>
                <w:u w:val="single"/>
                <w:lang w:eastAsia="zh-CN"/>
              </w:rPr>
              <w:t>、</w:t>
            </w:r>
            <w:r>
              <w:rPr>
                <w:rFonts w:hint="eastAsia" w:ascii="宋体" w:hAnsi="宋体"/>
                <w:szCs w:val="22"/>
                <w:u w:val="single"/>
              </w:rPr>
              <w:t>废气</w:t>
            </w:r>
            <w:r>
              <w:rPr>
                <w:rFonts w:hint="eastAsia" w:ascii="宋体" w:hAnsi="宋体"/>
                <w:szCs w:val="22"/>
                <w:u w:val="single"/>
                <w:lang w:eastAsia="zh-CN"/>
              </w:rPr>
              <w:t>、</w:t>
            </w:r>
            <w:r>
              <w:rPr>
                <w:rFonts w:hint="eastAsia" w:ascii="宋体" w:hAnsi="宋体"/>
                <w:szCs w:val="22"/>
                <w:u w:val="single"/>
              </w:rPr>
              <w:t>危废弃物</w:t>
            </w:r>
            <w:r>
              <w:rPr>
                <w:rFonts w:hint="eastAsia" w:ascii="宋体" w:hAnsi="宋体"/>
                <w:szCs w:val="22"/>
                <w:u w:val="single"/>
                <w:lang w:eastAsia="zh-CN"/>
              </w:rPr>
              <w:t>、</w:t>
            </w:r>
            <w:r>
              <w:rPr>
                <w:rFonts w:hint="eastAsia" w:ascii="宋体" w:hAnsi="宋体"/>
                <w:szCs w:val="22"/>
                <w:u w:val="single"/>
              </w:rPr>
              <w:t>潜在火灾事故</w:t>
            </w:r>
            <w:r>
              <w:rPr>
                <w:rFonts w:hint="eastAsia" w:ascii="宋体" w:hAnsi="宋体"/>
                <w:szCs w:val="22"/>
                <w:u w:val="single"/>
                <w:lang w:eastAsia="zh-CN"/>
              </w:rPr>
              <w:t>、</w:t>
            </w:r>
            <w:r>
              <w:rPr>
                <w:rFonts w:hint="eastAsia" w:ascii="宋体" w:hAnsi="宋体"/>
                <w:szCs w:val="22"/>
                <w:u w:val="single"/>
              </w:rPr>
              <w:t>资源的消耗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环境</w:t>
            </w:r>
            <w:r>
              <w:rPr>
                <w:rFonts w:hint="eastAsia" w:ascii="宋体"/>
                <w:color w:val="000000"/>
                <w:sz w:val="20"/>
                <w:szCs w:val="20"/>
              </w:rPr>
              <w:t>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每年委托第三方监测噪声和废气；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防火演练和医疗急救；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adjustRightInd w:val="0"/>
              <w:spacing w:line="360" w:lineRule="auto"/>
              <w:jc w:val="left"/>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val="en-US" w:eastAsia="zh-CN"/>
              </w:rPr>
              <w:t>危化品泄漏、（噪声、油漆、电焊烟尘、电焊弧光）职业病伤害、引起人员机械伤害、出现明火引起的火灾、压力容器设备老化或操作部当发生爆炸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针对不可接受风险是否明确了监视和测量的要求：建立目标和管理方案，常规运行控制、制定应急预案等措施。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51</w:t>
            </w:r>
            <w:r>
              <w:rPr>
                <w:rFonts w:hint="eastAsia" w:ascii="宋体"/>
                <w:color w:val="000000"/>
                <w:sz w:val="20"/>
                <w:szCs w:val="20"/>
              </w:rPr>
              <w:t>人，其中管理人员：</w:t>
            </w:r>
            <w:r>
              <w:rPr>
                <w:rFonts w:hint="eastAsia" w:ascii="宋体"/>
                <w:color w:val="000000"/>
                <w:sz w:val="20"/>
                <w:szCs w:val="20"/>
                <w:lang w:val="en-US" w:eastAsia="zh-CN"/>
              </w:rPr>
              <w:t>9</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喷漆车间、抛丸车间、机加工车间、危险固废仓库、变电房、空压房</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喷漆车间、抛丸车间、机加工车间、危险固废仓库、变电房、空压房</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编制内部审核计划；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查看审核计划和检查表，基本覆盖了管理体系的全范围。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了解内审结论是什么？内审发现</w:t>
            </w:r>
            <w:r>
              <w:rPr>
                <w:rFonts w:hint="eastAsia" w:ascii="宋体" w:hAnsi="宋体"/>
                <w:b/>
                <w:color w:val="000000"/>
                <w:sz w:val="20"/>
                <w:szCs w:val="20"/>
                <w:lang w:val="en-US" w:eastAsia="zh-CN"/>
              </w:rPr>
              <w:t>2</w:t>
            </w:r>
            <w:r>
              <w:rPr>
                <w:rFonts w:hint="eastAsia" w:ascii="宋体" w:hAnsi="宋体"/>
                <w:b/>
                <w:color w:val="000000"/>
                <w:sz w:val="20"/>
                <w:szCs w:val="20"/>
              </w:rPr>
              <w:t>个不符合项；已采取改进措施；审核结果为管体系运行适宜、充分和有效。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编制管理评审计划；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输入信息主要体现在各部门的总结报告及内审结果；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编制管理评审报告，提出</w:t>
            </w:r>
            <w:r>
              <w:rPr>
                <w:rFonts w:hint="eastAsia" w:ascii="宋体" w:hAnsi="宋体"/>
                <w:b/>
                <w:color w:val="000000"/>
                <w:sz w:val="20"/>
                <w:szCs w:val="20"/>
                <w:lang w:val="en-US" w:eastAsia="zh-CN"/>
              </w:rPr>
              <w:t>2</w:t>
            </w:r>
            <w:r>
              <w:rPr>
                <w:rFonts w:hint="eastAsia" w:ascii="宋体" w:hAnsi="宋体"/>
                <w:b/>
                <w:color w:val="000000"/>
                <w:sz w:val="20"/>
                <w:szCs w:val="20"/>
              </w:rPr>
              <w:t>项改进建议；评审结论为基本有效充分和适宜；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1" locked="0" layoutInCell="1" allowOverlap="1">
            <wp:simplePos x="0" y="0"/>
            <wp:positionH relativeFrom="column">
              <wp:posOffset>1824990</wp:posOffset>
            </wp:positionH>
            <wp:positionV relativeFrom="paragraph">
              <wp:posOffset>156845</wp:posOffset>
            </wp:positionV>
            <wp:extent cx="651510" cy="471170"/>
            <wp:effectExtent l="0" t="0" r="3810" b="127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651510" cy="471170"/>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240" w:lineRule="auto"/>
        <w:ind w:firstLine="843" w:firstLineChars="400"/>
        <w:rPr>
          <w:rFonts w:hint="eastAsia" w:ascii="宋体" w:eastAsia="宋体"/>
          <w:b/>
          <w:color w:val="000000"/>
          <w:lang w:eastAsia="zh-CN"/>
        </w:rPr>
      </w:pPr>
      <w:r>
        <w:rPr>
          <w:rFonts w:hint="eastAsia" w:ascii="宋体" w:eastAsia="宋体"/>
          <w:b/>
          <w:color w:val="000000"/>
          <w:lang w:eastAsia="zh-CN"/>
        </w:rPr>
        <w:drawing>
          <wp:anchor distT="0" distB="0" distL="114300" distR="114300" simplePos="0" relativeHeight="251659264" behindDoc="1" locked="0" layoutInCell="1" allowOverlap="1">
            <wp:simplePos x="0" y="0"/>
            <wp:positionH relativeFrom="column">
              <wp:posOffset>1811655</wp:posOffset>
            </wp:positionH>
            <wp:positionV relativeFrom="paragraph">
              <wp:posOffset>71755</wp:posOffset>
            </wp:positionV>
            <wp:extent cx="822960" cy="407035"/>
            <wp:effectExtent l="0" t="0" r="0" b="4445"/>
            <wp:wrapNone/>
            <wp:docPr id="3" name="图片 3"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e3c5ce310dd7f7edcbfa932cc5ea3b"/>
                    <pic:cNvPicPr>
                      <a:picLocks noChangeAspect="1"/>
                    </pic:cNvPicPr>
                  </pic:nvPicPr>
                  <pic:blipFill>
                    <a:blip r:embed="rId7"/>
                    <a:stretch>
                      <a:fillRect/>
                    </a:stretch>
                  </pic:blipFill>
                  <pic:spPr>
                    <a:xfrm>
                      <a:off x="0" y="0"/>
                      <a:ext cx="822960" cy="40703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2020-11-06</w:t>
      </w:r>
      <w:bookmarkStart w:id="24" w:name="_GoBack"/>
      <w:bookmarkEnd w:id="2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831681"/>
    <w:rsid w:val="37E32E39"/>
    <w:rsid w:val="39E66989"/>
    <w:rsid w:val="58CC632B"/>
    <w:rsid w:val="594215C9"/>
    <w:rsid w:val="5BED1D09"/>
    <w:rsid w:val="74F26A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2020-11-08T10:38:22Z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