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0207-2020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青海金手指勘测设计有限公司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查质量部，未能提供外部服务供方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北京市华北精仪计量检测中心的相关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资质和评价。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/>
                <w:color w:val="000000" w:themeColor="text1"/>
                <w:szCs w:val="21"/>
                <w:highlight w:val="none"/>
                <w:u w:val="single"/>
                <w:lang w:val="en-US" w:eastAsia="zh-CN"/>
              </w:rPr>
              <w:t>不符合6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u w:val="single"/>
                <w:lang w:val="en-US" w:eastAsia="zh-CN"/>
              </w:rPr>
              <w:t>.4外部供方</w:t>
            </w:r>
            <w:r>
              <w:rPr>
                <w:rFonts w:hint="eastAsia"/>
                <w:bCs/>
                <w:color w:val="000000" w:themeColor="text1"/>
                <w:szCs w:val="21"/>
                <w:u w:val="single"/>
                <w:lang w:val="en-US" w:eastAsia="zh-CN"/>
              </w:rPr>
              <w:t>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                                   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A30"/>
    <w:rsid w:val="00051EF8"/>
    <w:rsid w:val="00072A30"/>
    <w:rsid w:val="00B004E9"/>
    <w:rsid w:val="43A82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2</TotalTime>
  <ScaleCrop>false</ScaleCrop>
  <LinksUpToDate>false</LinksUpToDate>
  <CharactersWithSpaces>404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2020-11-01T03:48:21Z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