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120" w:afterLines="50" w:line="320" w:lineRule="exact"/>
        <w:rPr>
          <w:rFonts w:eastAsia="隶书"/>
          <w:b/>
          <w:sz w:val="22"/>
          <w:szCs w:val="22"/>
        </w:rPr>
      </w:pPr>
      <w:bookmarkStart w:id="0" w:name="Q勾选"/>
      <w:r>
        <w:rPr>
          <w:rFonts w:hint="eastAsia"/>
          <w:b/>
          <w:sz w:val="22"/>
          <w:szCs w:val="22"/>
        </w:rPr>
        <w:t>■</w:t>
      </w:r>
      <w:bookmarkEnd w:id="0"/>
      <w:r>
        <w:rPr>
          <w:rFonts w:hint="eastAsia"/>
          <w:b/>
          <w:sz w:val="22"/>
          <w:szCs w:val="22"/>
        </w:rPr>
        <w:t xml:space="preserve">QMS  </w:t>
      </w:r>
      <w:bookmarkStart w:id="1" w:name="E勾选"/>
      <w:r>
        <w:rPr>
          <w:rFonts w:hint="eastAsia"/>
          <w:b/>
          <w:sz w:val="22"/>
          <w:szCs w:val="22"/>
        </w:rPr>
        <w:t>■</w:t>
      </w:r>
      <w:bookmarkEnd w:id="1"/>
      <w:r>
        <w:rPr>
          <w:rFonts w:hint="eastAsia"/>
          <w:b/>
          <w:sz w:val="22"/>
          <w:szCs w:val="22"/>
        </w:rPr>
        <w:t xml:space="preserve">EMS  </w:t>
      </w:r>
      <w:bookmarkStart w:id="2" w:name="S勾选"/>
      <w:r>
        <w:rPr>
          <w:rFonts w:hint="eastAsia"/>
          <w:b/>
          <w:sz w:val="22"/>
          <w:szCs w:val="22"/>
        </w:rPr>
        <w:t>■</w:t>
      </w:r>
      <w:bookmarkEnd w:id="2"/>
      <w:r>
        <w:rPr>
          <w:rFonts w:hint="eastAsia"/>
          <w:b/>
          <w:sz w:val="22"/>
          <w:szCs w:val="22"/>
        </w:rPr>
        <w:t xml:space="preserve">OHSMS </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5325"/>
        <w:gridCol w:w="3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vAlign w:val="center"/>
          </w:tcPr>
          <w:p>
            <w:pPr>
              <w:snapToGrid w:val="0"/>
              <w:spacing w:line="280" w:lineRule="exact"/>
              <w:jc w:val="center"/>
              <w:rPr>
                <w:b/>
                <w:sz w:val="20"/>
              </w:rPr>
            </w:pPr>
            <w:bookmarkStart w:id="3" w:name="组织名称"/>
            <w:r>
              <w:rPr>
                <w:b/>
                <w:sz w:val="20"/>
              </w:rPr>
              <w:t>福建美尚智能家具制造有限公司</w:t>
            </w:r>
            <w:bookmarkEnd w:id="3"/>
          </w:p>
        </w:tc>
        <w:tc>
          <w:tcPr>
            <w:tcW w:w="3099"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p>
            <w:pPr>
              <w:snapToGrid w:val="0"/>
              <w:spacing w:line="280" w:lineRule="exact"/>
              <w:ind w:left="52"/>
              <w:jc w:val="center"/>
              <w:rPr>
                <w:b/>
                <w:sz w:val="20"/>
              </w:rPr>
            </w:pPr>
            <w:bookmarkStart w:id="4" w:name="专业代码"/>
            <w:r>
              <w:rPr>
                <w:b/>
                <w:sz w:val="20"/>
              </w:rPr>
              <w:t>Q：23.01.01;23.01.02;23.01.04</w:t>
            </w:r>
          </w:p>
          <w:p>
            <w:pPr>
              <w:snapToGrid w:val="0"/>
              <w:spacing w:line="280" w:lineRule="exact"/>
              <w:ind w:left="52"/>
              <w:jc w:val="center"/>
              <w:rPr>
                <w:b/>
                <w:sz w:val="20"/>
              </w:rPr>
            </w:pPr>
            <w:r>
              <w:rPr>
                <w:b/>
                <w:sz w:val="20"/>
              </w:rPr>
              <w:t>E：23.01.01;23.01.02;23.01.04</w:t>
            </w:r>
          </w:p>
          <w:p>
            <w:pPr>
              <w:snapToGrid w:val="0"/>
              <w:spacing w:line="280" w:lineRule="exact"/>
              <w:ind w:left="52"/>
              <w:jc w:val="center"/>
              <w:rPr>
                <w:b/>
                <w:sz w:val="20"/>
              </w:rPr>
            </w:pPr>
            <w:r>
              <w:rPr>
                <w:b/>
                <w:sz w:val="20"/>
              </w:rPr>
              <w:t>O：23.01.01;23.01.02;23.01.04</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249" w:type="dxa"/>
            <w:gridSpan w:val="2"/>
            <w:vAlign w:val="center"/>
          </w:tcPr>
          <w:p>
            <w:pPr>
              <w:snapToGrid w:val="0"/>
              <w:spacing w:line="280" w:lineRule="exact"/>
              <w:jc w:val="center"/>
              <w:rPr>
                <w:rFonts w:hint="eastAsia" w:eastAsia="宋体"/>
                <w:b/>
                <w:sz w:val="22"/>
                <w:szCs w:val="22"/>
                <w:lang w:eastAsia="zh-CN"/>
              </w:rPr>
            </w:pPr>
            <w:r>
              <w:rPr>
                <w:rFonts w:hint="eastAsia"/>
                <w:b/>
                <w:sz w:val="22"/>
                <w:szCs w:val="22"/>
              </w:rPr>
              <w:t>教师姓名</w:t>
            </w:r>
            <w:r>
              <w:rPr>
                <w:rFonts w:hint="eastAsia"/>
                <w:b/>
                <w:sz w:val="22"/>
                <w:szCs w:val="22"/>
                <w:lang w:eastAsia="zh-CN"/>
              </w:rPr>
              <w:t>：</w:t>
            </w:r>
          </w:p>
          <w:p>
            <w:pPr>
              <w:snapToGrid w:val="0"/>
              <w:spacing w:line="280" w:lineRule="exact"/>
              <w:jc w:val="center"/>
              <w:rPr>
                <w:rFonts w:hint="eastAsia" w:eastAsia="宋体"/>
                <w:b/>
                <w:sz w:val="20"/>
                <w:lang w:val="en-US" w:eastAsia="zh-CN"/>
              </w:rPr>
            </w:pPr>
            <w:r>
              <w:rPr>
                <w:rFonts w:hint="eastAsia"/>
                <w:b/>
                <w:sz w:val="20"/>
                <w:lang w:val="en-US" w:eastAsia="zh-CN"/>
              </w:rPr>
              <w:t>王志慧</w:t>
            </w:r>
          </w:p>
        </w:tc>
        <w:tc>
          <w:tcPr>
            <w:tcW w:w="5325" w:type="dxa"/>
            <w:vAlign w:val="center"/>
          </w:tcPr>
          <w:p>
            <w:pPr>
              <w:snapToGrid w:val="0"/>
              <w:spacing w:line="280" w:lineRule="exact"/>
              <w:jc w:val="both"/>
              <w:rPr>
                <w:b/>
                <w:sz w:val="20"/>
              </w:rPr>
            </w:pPr>
            <w:r>
              <w:rPr>
                <w:rFonts w:hint="eastAsia"/>
                <w:b/>
                <w:sz w:val="22"/>
                <w:szCs w:val="22"/>
              </w:rPr>
              <w:t>专业</w:t>
            </w:r>
            <w:r>
              <w:rPr>
                <w:b/>
                <w:sz w:val="20"/>
              </w:rPr>
              <w:t>Q：23.01.01;23.01.02;23.01.04</w:t>
            </w:r>
          </w:p>
          <w:p>
            <w:pPr>
              <w:snapToGrid w:val="0"/>
              <w:spacing w:line="280" w:lineRule="exact"/>
              <w:ind w:left="52"/>
              <w:jc w:val="left"/>
              <w:rPr>
                <w:b/>
                <w:sz w:val="20"/>
              </w:rPr>
            </w:pPr>
            <w:r>
              <w:rPr>
                <w:b/>
                <w:sz w:val="20"/>
              </w:rPr>
              <w:t>E：23.01.01;23.01.02;23.01.04</w:t>
            </w:r>
          </w:p>
          <w:p>
            <w:pPr>
              <w:snapToGrid w:val="0"/>
              <w:spacing w:line="280" w:lineRule="exact"/>
              <w:jc w:val="left"/>
              <w:rPr>
                <w:b/>
                <w:sz w:val="20"/>
              </w:rPr>
            </w:pPr>
            <w:r>
              <w:rPr>
                <w:b/>
                <w:sz w:val="20"/>
              </w:rPr>
              <w:t>O：23.01.01;23.01.02;23.01.04</w:t>
            </w:r>
          </w:p>
        </w:tc>
        <w:tc>
          <w:tcPr>
            <w:tcW w:w="3099" w:type="dxa"/>
            <w:vAlign w:val="center"/>
          </w:tcPr>
          <w:p>
            <w:pPr>
              <w:snapToGrid w:val="0"/>
              <w:spacing w:line="280" w:lineRule="exact"/>
              <w:jc w:val="center"/>
              <w:rPr>
                <w:rFonts w:hint="default" w:eastAsia="宋体"/>
                <w:b/>
                <w:sz w:val="20"/>
                <w:lang w:val="en-US" w:eastAsia="zh-CN"/>
              </w:rPr>
            </w:pPr>
            <w:r>
              <w:rPr>
                <w:rFonts w:hint="eastAsia"/>
                <w:b/>
                <w:sz w:val="22"/>
                <w:szCs w:val="22"/>
              </w:rPr>
              <w:t>培训地点</w:t>
            </w:r>
            <w:r>
              <w:rPr>
                <w:rFonts w:hint="eastAsia"/>
                <w:b/>
                <w:sz w:val="22"/>
                <w:szCs w:val="22"/>
                <w:lang w:eastAsia="zh-CN"/>
              </w:rPr>
              <w:t>：</w:t>
            </w:r>
            <w:r>
              <w:rPr>
                <w:rFonts w:hint="eastAsia"/>
                <w:b/>
                <w:sz w:val="22"/>
                <w:szCs w:val="22"/>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8424" w:type="dxa"/>
            <w:gridSpan w:val="2"/>
            <w:vAlign w:val="center"/>
          </w:tcPr>
          <w:p>
            <w:pPr>
              <w:snapToGrid w:val="0"/>
              <w:spacing w:line="360" w:lineRule="exact"/>
              <w:jc w:val="center"/>
              <w:rPr>
                <w:rFonts w:hint="eastAsia" w:eastAsia="宋体"/>
                <w:b/>
                <w:sz w:val="20"/>
                <w:lang w:val="en-US" w:eastAsia="zh-CN"/>
              </w:rPr>
            </w:pPr>
            <w:r>
              <w:rPr>
                <w:rFonts w:hint="eastAsia"/>
                <w:b/>
                <w:sz w:val="20"/>
                <w:lang w:val="en-US" w:eastAsia="zh-CN"/>
              </w:rPr>
              <w:t>伍光华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8424" w:type="dxa"/>
            <w:gridSpan w:val="2"/>
            <w:vAlign w:val="center"/>
          </w:tcPr>
          <w:p>
            <w:pPr>
              <w:snapToGrid w:val="0"/>
              <w:spacing w:line="36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2249" w:type="dxa"/>
            <w:gridSpan w:val="2"/>
            <w:tcBorders>
              <w:left w:val="single" w:color="auto" w:sz="4" w:space="0"/>
            </w:tcBorders>
            <w:vAlign w:val="center"/>
          </w:tcPr>
          <w:p>
            <w:pPr>
              <w:snapToGrid w:val="0"/>
              <w:spacing w:line="280" w:lineRule="exact"/>
              <w:jc w:val="center"/>
              <w:rPr>
                <w:rFonts w:hint="eastAsia"/>
                <w:b/>
                <w:sz w:val="20"/>
              </w:rPr>
            </w:pPr>
            <w:r>
              <w:rPr>
                <w:rFonts w:hint="eastAsia"/>
                <w:b/>
                <w:sz w:val="20"/>
              </w:rPr>
              <w:t>生产工艺/服务过程</w:t>
            </w:r>
          </w:p>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2"/>
            <w:tcBorders/>
            <w:vAlign w:val="center"/>
          </w:tcPr>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木制</w:t>
            </w:r>
            <w:r>
              <w:rPr>
                <w:rFonts w:hint="eastAsia" w:asciiTheme="minorEastAsia" w:hAnsiTheme="minorEastAsia" w:eastAsiaTheme="minorEastAsia" w:cstheme="minorEastAsia"/>
                <w:sz w:val="21"/>
                <w:szCs w:val="21"/>
              </w:rPr>
              <w:t>家具：饰面人造板→下料→排孔→封边→组装→成品</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特殊过程：封边</w:t>
            </w:r>
            <w:r>
              <w:rPr>
                <w:rFonts w:hint="eastAsia" w:asciiTheme="minorEastAsia" w:hAnsiTheme="minorEastAsia" w:eastAsiaTheme="minorEastAsia" w:cstheme="minorEastAsia"/>
                <w:sz w:val="21"/>
                <w:szCs w:val="21"/>
                <w:lang w:val="en-US" w:eastAsia="zh-CN"/>
              </w:rPr>
              <w:t xml:space="preserve">   管控措施：见特殊过程确认记录，见生产工艺文件</w:t>
            </w:r>
          </w:p>
          <w:p>
            <w:pPr>
              <w:pStyle w:val="2"/>
              <w:rPr>
                <w:rFonts w:hint="eastAsia" w:ascii="宋体" w:hAnsi="宋体"/>
                <w:b/>
                <w:color w:val="000000" w:themeColor="text1"/>
                <w:sz w:val="20"/>
                <w:szCs w:val="20"/>
              </w:rPr>
            </w:pPr>
            <w:r>
              <w:rPr>
                <w:rFonts w:hint="eastAsia" w:asciiTheme="minorEastAsia" w:hAnsiTheme="minorEastAsia" w:eastAsiaTheme="minorEastAsia" w:cstheme="minorEastAsia"/>
                <w:sz w:val="21"/>
                <w:szCs w:val="21"/>
                <w:lang w:eastAsia="zh-CN"/>
              </w:rPr>
              <w:t>关键过程：封边</w:t>
            </w:r>
            <w:r>
              <w:rPr>
                <w:rFonts w:hint="eastAsia" w:asciiTheme="minorEastAsia" w:hAnsiTheme="minorEastAsia" w:eastAsiaTheme="minorEastAsia" w:cstheme="minorEastAsia"/>
                <w:sz w:val="21"/>
                <w:szCs w:val="21"/>
                <w:lang w:val="en-US" w:eastAsia="zh-CN"/>
              </w:rPr>
              <w:t xml:space="preserve">         管控措施：见生产工艺文件</w:t>
            </w:r>
          </w:p>
          <w:p>
            <w:pPr>
              <w:snapToGrid w:val="0"/>
              <w:spacing w:line="280" w:lineRule="exact"/>
              <w:jc w:val="center"/>
              <w:rPr>
                <w:b/>
                <w:sz w:val="20"/>
              </w:rPr>
            </w:pPr>
            <w:bookmarkStart w:id="5" w:name="_GoBack"/>
            <w:bookmarkEnd w:id="5"/>
            <w:r>
              <w:rPr>
                <w:rFonts w:hint="eastAsia" w:ascii="宋体" w:hAnsi="宋体"/>
                <w:b/>
                <w:color w:val="000000" w:themeColor="text1"/>
                <w:sz w:val="20"/>
                <w:szCs w:val="2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08" w:hRule="atLeast"/>
          <w:jc w:val="center"/>
        </w:trPr>
        <w:tc>
          <w:tcPr>
            <w:tcW w:w="2249" w:type="dxa"/>
            <w:gridSpan w:val="2"/>
            <w:tcBorders>
              <w:left w:val="single" w:color="auto" w:sz="4" w:space="0"/>
            </w:tcBorders>
            <w:vAlign w:val="center"/>
          </w:tcPr>
          <w:p>
            <w:pPr>
              <w:snapToGrid w:val="0"/>
              <w:spacing w:line="280" w:lineRule="exact"/>
              <w:jc w:val="left"/>
              <w:rPr>
                <w:rFonts w:hint="eastAsia"/>
                <w:b/>
                <w:sz w:val="20"/>
              </w:rPr>
            </w:pPr>
            <w:r>
              <w:rPr>
                <w:rFonts w:hint="eastAsia"/>
                <w:b/>
                <w:sz w:val="20"/>
              </w:rPr>
              <w:t>重要环境及控制措施</w:t>
            </w:r>
          </w:p>
          <w:p>
            <w:pPr>
              <w:snapToGrid w:val="0"/>
              <w:spacing w:line="280" w:lineRule="exact"/>
              <w:jc w:val="left"/>
              <w:rPr>
                <w:b/>
                <w:sz w:val="20"/>
              </w:rPr>
            </w:pPr>
            <w:r>
              <w:rPr>
                <w:rFonts w:hint="eastAsia"/>
                <w:b/>
                <w:sz w:val="20"/>
              </w:rPr>
              <w:t>不可接受风险的危险源及控制措施</w:t>
            </w:r>
          </w:p>
        </w:tc>
        <w:tc>
          <w:tcPr>
            <w:tcW w:w="8424" w:type="dxa"/>
            <w:gridSpan w:val="2"/>
            <w:tcBorders/>
            <w:vAlign w:val="center"/>
          </w:tcPr>
          <w:p>
            <w:pPr>
              <w:numPr>
                <w:ilvl w:val="0"/>
                <w:numId w:val="0"/>
              </w:num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提供《环境因素识别与评价程序》，用以指导进行环境因素的识别、登记评价，以确定重要环境因素以及对环境因素的定期更新，环境因素的识别和确定考虑生命周期观点。</w:t>
            </w:r>
          </w:p>
          <w:p>
            <w:pPr>
              <w:ind w:firstLine="315" w:firstLineChars="15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提供了《环境因素识别与评价表》，识别的环境因素标明时态、状态和对环境的影响；经查阅识别出对在办公活动中产生的纸张等消耗、固废排放、生活废水排放等环境因素及考虑到环境管理体系发生变更时可能产生的环境因素。参加环境因素辨识和评价人员：编制：</w:t>
            </w:r>
            <w:r>
              <w:rPr>
                <w:rFonts w:hint="eastAsia" w:asciiTheme="minorEastAsia" w:hAnsiTheme="minorEastAsia" w:eastAsiaTheme="minorEastAsia" w:cstheme="minorEastAsia"/>
                <w:color w:val="auto"/>
                <w:sz w:val="21"/>
                <w:szCs w:val="21"/>
                <w:lang w:val="en-US" w:eastAsia="zh-CN"/>
              </w:rPr>
              <w:t>周红萍</w:t>
            </w:r>
            <w:r>
              <w:rPr>
                <w:rFonts w:hint="eastAsia" w:asciiTheme="minorEastAsia" w:hAnsiTheme="minorEastAsia" w:eastAsiaTheme="minorEastAsia" w:cstheme="minorEastAsia"/>
                <w:color w:val="auto"/>
                <w:sz w:val="21"/>
                <w:szCs w:val="21"/>
              </w:rPr>
              <w:t xml:space="preserve">  审核：</w:t>
            </w:r>
            <w:r>
              <w:rPr>
                <w:rFonts w:hint="eastAsia" w:asciiTheme="minorEastAsia" w:hAnsiTheme="minorEastAsia" w:eastAsiaTheme="minorEastAsia" w:cstheme="minorEastAsia"/>
                <w:color w:val="auto"/>
                <w:sz w:val="21"/>
                <w:szCs w:val="21"/>
                <w:lang w:eastAsia="zh-CN"/>
              </w:rPr>
              <w:t>钟旭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2020.5.5</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重要环境因素采用经验/直接判断法，由各部门有管理经验的人员共同讨论、采用直接判断的方法确定重要环境因素，提供了“重要环境因素清单”：本部门的重要环境因素：潜在火灾事故发生，固体废弃物处理；提供了针对重要环境因素，编制的环境目标、指标及管理方案，内容包括：目标、指标、管理措施、完成时间、资金投入等。   </w:t>
            </w:r>
          </w:p>
          <w:p>
            <w:pPr>
              <w:ind w:firstLine="315" w:firstLineChars="15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编制：</w:t>
            </w:r>
            <w:r>
              <w:rPr>
                <w:rFonts w:hint="eastAsia" w:asciiTheme="minorEastAsia" w:hAnsiTheme="minorEastAsia" w:eastAsiaTheme="minorEastAsia" w:cstheme="minorEastAsia"/>
                <w:color w:val="auto"/>
                <w:sz w:val="21"/>
                <w:szCs w:val="21"/>
                <w:lang w:val="en-US" w:eastAsia="zh-CN"/>
              </w:rPr>
              <w:t>周红萍</w:t>
            </w:r>
            <w:r>
              <w:rPr>
                <w:rFonts w:hint="eastAsia" w:asciiTheme="minorEastAsia" w:hAnsiTheme="minorEastAsia" w:eastAsiaTheme="minorEastAsia" w:cstheme="minorEastAsia"/>
                <w:color w:val="auto"/>
                <w:sz w:val="21"/>
                <w:szCs w:val="21"/>
              </w:rPr>
              <w:t xml:space="preserve">  审核：</w:t>
            </w:r>
            <w:r>
              <w:rPr>
                <w:rFonts w:hint="eastAsia" w:asciiTheme="minorEastAsia" w:hAnsiTheme="minorEastAsia" w:eastAsiaTheme="minorEastAsia" w:cstheme="minorEastAsia"/>
                <w:color w:val="auto"/>
                <w:sz w:val="21"/>
                <w:szCs w:val="21"/>
                <w:lang w:eastAsia="zh-CN"/>
              </w:rPr>
              <w:t>钟旭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2020.5.5</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公司制定的《危险源辨识、风险评价和风险控制程序》，确保公司在所有管理活动或服务过程中能最大限度、充分地进行危险源辨识与风险性评价，确定不可接受风险并及时更新，实现对危险源与不可接受风险的有效控制。</w:t>
            </w:r>
          </w:p>
          <w:p>
            <w:pPr>
              <w:ind w:firstLine="315" w:firstLineChars="15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提供了《危险源辨识、风险评价和控制措施的确定表》，对活动场所产生的危险源辨识并进行风险评价，以确定控制措施，经查阅已辨识出插座质量差，漏电、线路绝缘破损接线板负荷过重、违规用电、烟头未熄灭或直接扔进纸篓中、违规行驶导致意外交通事故、车祸伤害、自主加油时吸烟导致潜在火灾、触电、意外伤害等危险因素。 编制：</w:t>
            </w:r>
            <w:r>
              <w:rPr>
                <w:rFonts w:hint="eastAsia" w:asciiTheme="minorEastAsia" w:hAnsiTheme="minorEastAsia" w:eastAsiaTheme="minorEastAsia" w:cstheme="minorEastAsia"/>
                <w:color w:val="auto"/>
                <w:sz w:val="21"/>
                <w:szCs w:val="21"/>
                <w:lang w:val="en-US" w:eastAsia="zh-CN"/>
              </w:rPr>
              <w:t>周红萍</w:t>
            </w:r>
            <w:r>
              <w:rPr>
                <w:rFonts w:hint="eastAsia" w:asciiTheme="minorEastAsia" w:hAnsiTheme="minorEastAsia" w:eastAsiaTheme="minorEastAsia" w:cstheme="minorEastAsia"/>
                <w:color w:val="auto"/>
                <w:sz w:val="21"/>
                <w:szCs w:val="21"/>
              </w:rPr>
              <w:t xml:space="preserve">  审核：</w:t>
            </w:r>
            <w:r>
              <w:rPr>
                <w:rFonts w:hint="eastAsia" w:asciiTheme="minorEastAsia" w:hAnsiTheme="minorEastAsia" w:eastAsiaTheme="minorEastAsia" w:cstheme="minorEastAsia"/>
                <w:color w:val="auto"/>
                <w:sz w:val="21"/>
                <w:szCs w:val="21"/>
                <w:lang w:eastAsia="zh-CN"/>
              </w:rPr>
              <w:t>钟旭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2020.5.5</w:t>
            </w:r>
          </w:p>
          <w:p>
            <w:pPr>
              <w:snapToGrid w:val="0"/>
              <w:spacing w:line="280" w:lineRule="exact"/>
              <w:jc w:val="left"/>
              <w:rPr>
                <w:b/>
                <w:sz w:val="20"/>
              </w:rPr>
            </w:pPr>
            <w:r>
              <w:rPr>
                <w:rFonts w:hint="eastAsia" w:asciiTheme="minorEastAsia" w:hAnsiTheme="minorEastAsia" w:eastAsiaTheme="minorEastAsia" w:cstheme="minorEastAsia"/>
                <w:color w:val="auto"/>
                <w:sz w:val="21"/>
                <w:szCs w:val="21"/>
              </w:rPr>
              <w:t>由各部门有管理经验的人员共同讨论、采用直接判断的方法确定不可接受风险。提供了《重大危险源清单》涉及本部门的不可接受风险有：火灾，触电；针对不可接受风险编制了职业健康安全目标、指标及管理方案，内容包括：目标、指标、管理措施、完成时间、资金投入等；编制：</w:t>
            </w:r>
            <w:r>
              <w:rPr>
                <w:rFonts w:hint="eastAsia" w:asciiTheme="minorEastAsia" w:hAnsiTheme="minorEastAsia" w:eastAsiaTheme="minorEastAsia" w:cstheme="minorEastAsia"/>
                <w:color w:val="auto"/>
                <w:sz w:val="21"/>
                <w:szCs w:val="21"/>
                <w:lang w:val="en-US" w:eastAsia="zh-CN"/>
              </w:rPr>
              <w:t>周红萍</w:t>
            </w:r>
            <w:r>
              <w:rPr>
                <w:rFonts w:hint="eastAsia" w:asciiTheme="minorEastAsia" w:hAnsiTheme="minorEastAsia" w:eastAsiaTheme="minorEastAsia" w:cstheme="minorEastAsia"/>
                <w:color w:val="auto"/>
                <w:sz w:val="21"/>
                <w:szCs w:val="21"/>
              </w:rPr>
              <w:t xml:space="preserve">  审核：</w:t>
            </w:r>
            <w:r>
              <w:rPr>
                <w:rFonts w:hint="eastAsia" w:asciiTheme="minorEastAsia" w:hAnsiTheme="minorEastAsia" w:eastAsiaTheme="minorEastAsia" w:cstheme="minorEastAsia"/>
                <w:color w:val="auto"/>
                <w:sz w:val="21"/>
                <w:szCs w:val="21"/>
                <w:lang w:eastAsia="zh-CN"/>
              </w:rPr>
              <w:t>钟旭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2020.5.5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2"/>
            <w:vAlign w:val="center"/>
          </w:tcPr>
          <w:p>
            <w:pPr>
              <w:snapToGrid w:val="0"/>
              <w:spacing w:line="280" w:lineRule="exact"/>
              <w:jc w:val="left"/>
              <w:rPr>
                <w:b/>
                <w:sz w:val="20"/>
              </w:rPr>
            </w:pPr>
            <w:r>
              <w:rPr>
                <w:rFonts w:hint="eastAsia" w:ascii="Times New Roman" w:hAnsi="Times New Roman" w:eastAsia="宋体" w:cs="Times New Roman"/>
                <w:b/>
                <w:sz w:val="20"/>
                <w:szCs w:val="22"/>
              </w:rPr>
              <w:t>木家具通用技术条件GB/T 3324-2017</w:t>
            </w:r>
            <w:r>
              <w:rPr>
                <w:rFonts w:hint="eastAsia" w:ascii="Times New Roman" w:hAnsi="Times New Roman" w:eastAsia="宋体" w:cs="Times New Roman"/>
                <w:b/>
                <w:sz w:val="20"/>
                <w:szCs w:val="22"/>
                <w:lang w:eastAsia="zh-CN"/>
              </w:rPr>
              <w:t>、</w:t>
            </w:r>
            <w:r>
              <w:rPr>
                <w:rFonts w:hint="eastAsia" w:ascii="Times New Roman" w:hAnsi="Times New Roman" w:eastAsia="宋体" w:cs="Times New Roman"/>
                <w:b/>
                <w:sz w:val="20"/>
                <w:szCs w:val="22"/>
                <w:lang w:val="en-US" w:eastAsia="zh-CN"/>
              </w:rPr>
              <w:t>客户合同、客户图纸要求等、</w:t>
            </w:r>
            <w:r>
              <w:rPr>
                <w:rFonts w:hint="eastAsia" w:ascii="Times New Roman" w:hAnsi="Times New Roman" w:eastAsia="宋体" w:cs="Times New Roman"/>
                <w:b/>
                <w:sz w:val="20"/>
                <w:szCs w:val="22"/>
                <w:lang w:eastAsia="zh-CN"/>
              </w:rPr>
              <w:t>合同法等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2"/>
            <w:vAlign w:val="center"/>
          </w:tcPr>
          <w:p>
            <w:pPr>
              <w:snapToGrid w:val="0"/>
              <w:spacing w:line="280" w:lineRule="exact"/>
              <w:jc w:val="both"/>
              <w:rPr>
                <w:rFonts w:hint="default" w:eastAsia="宋体"/>
                <w:b/>
                <w:sz w:val="20"/>
                <w:lang w:val="en-US" w:eastAsia="zh-CN"/>
              </w:rPr>
            </w:pPr>
            <w:r>
              <w:rPr>
                <w:rFonts w:hint="eastAsia"/>
                <w:b/>
                <w:sz w:val="20"/>
                <w:lang w:val="en-US" w:eastAsia="zh-CN"/>
              </w:rPr>
              <w:t>产品委托检验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2"/>
            <w:tcBorders>
              <w:bottom w:val="single" w:color="auto" w:sz="4"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b/>
          <w:sz w:val="22"/>
          <w:szCs w:val="22"/>
          <w:lang w:val="en-US" w:eastAsia="zh-CN"/>
        </w:rPr>
        <w:t>王志慧</w:t>
      </w:r>
      <w:r>
        <w:rPr>
          <w:rFonts w:hint="eastAsia" w:ascii="宋体"/>
          <w:b/>
          <w:sz w:val="22"/>
          <w:szCs w:val="22"/>
        </w:rPr>
        <w:t xml:space="preserve">        审核组长</w:t>
      </w:r>
      <w:r>
        <w:rPr>
          <w:rFonts w:hint="eastAsia" w:ascii="宋体"/>
          <w:b/>
          <w:sz w:val="18"/>
          <w:szCs w:val="18"/>
        </w:rPr>
        <w:t>：</w:t>
      </w:r>
      <w:r>
        <w:rPr>
          <w:rFonts w:hint="eastAsia"/>
          <w:b/>
          <w:sz w:val="22"/>
          <w:szCs w:val="22"/>
          <w:lang w:val="en-US" w:eastAsia="zh-CN"/>
        </w:rPr>
        <w:t>王志慧</w:t>
      </w:r>
      <w:r>
        <w:rPr>
          <w:rFonts w:hint="eastAsia" w:ascii="宋体"/>
          <w:b/>
          <w:sz w:val="22"/>
          <w:szCs w:val="22"/>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2020年10月31日</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-I-24专业培训记录(03版)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F25C9E"/>
    <w:rsid w:val="08A54FD6"/>
    <w:rsid w:val="0A9B27BB"/>
    <w:rsid w:val="141D7A2A"/>
    <w:rsid w:val="2C4F6E13"/>
    <w:rsid w:val="2F3A09F2"/>
    <w:rsid w:val="302F0C10"/>
    <w:rsid w:val="41D60A6C"/>
    <w:rsid w:val="51385B98"/>
    <w:rsid w:val="5F767C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43</Words>
  <Characters>250</Characters>
  <Lines>2</Lines>
  <Paragraphs>1</Paragraphs>
  <TotalTime>0</TotalTime>
  <ScaleCrop>false</ScaleCrop>
  <LinksUpToDate>false</LinksUpToDate>
  <CharactersWithSpaces>292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Joyce</cp:lastModifiedBy>
  <dcterms:modified xsi:type="dcterms:W3CDTF">2020-11-02T06:43:39Z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