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beforeLines="50" w:line="360" w:lineRule="exact"/>
        <w:jc w:val="center"/>
        <w:rPr>
          <w:rFonts w:ascii="宋体"/>
          <w:b/>
          <w:sz w:val="18"/>
          <w:szCs w:val="18"/>
        </w:rPr>
      </w:pPr>
      <w:r>
        <w:rPr>
          <w:rFonts w:hint="eastAsia" w:ascii="宋体" w:hAnsi="宋体"/>
          <w:b/>
          <w:sz w:val="30"/>
          <w:szCs w:val="30"/>
        </w:rPr>
        <w:t>专业培训记录</w:t>
      </w:r>
    </w:p>
    <w:p>
      <w:pPr>
        <w:snapToGrid w:val="0"/>
        <w:spacing w:after="120" w:afterLines="50" w:line="320" w:lineRule="exact"/>
        <w:jc w:val="center"/>
        <w:rPr>
          <w:rFonts w:eastAsia="隶书"/>
          <w:b/>
          <w:sz w:val="22"/>
          <w:szCs w:val="22"/>
        </w:rPr>
      </w:pPr>
      <w:bookmarkStart w:id="0" w:name="Q勾选15"/>
      <w:r>
        <w:rPr>
          <w:rFonts w:hint="eastAsia"/>
          <w:b/>
          <w:sz w:val="22"/>
          <w:szCs w:val="22"/>
        </w:rPr>
        <w:t>■</w:t>
      </w:r>
      <w:bookmarkEnd w:id="0"/>
      <w:r>
        <w:rPr>
          <w:b/>
          <w:sz w:val="22"/>
          <w:szCs w:val="22"/>
        </w:rPr>
        <w:t xml:space="preserve">QMS  </w:t>
      </w:r>
      <w:r>
        <w:rPr>
          <w:rFonts w:hint="eastAsia"/>
          <w:b/>
          <w:sz w:val="22"/>
          <w:szCs w:val="22"/>
        </w:rPr>
        <w:t>■5</w:t>
      </w:r>
      <w:r>
        <w:rPr>
          <w:b/>
          <w:sz w:val="22"/>
          <w:szCs w:val="22"/>
        </w:rPr>
        <w:t xml:space="preserve">0430  </w:t>
      </w:r>
      <w:bookmarkStart w:id="1" w:name="E勾选"/>
      <w:r>
        <w:rPr>
          <w:rFonts w:hint="eastAsia"/>
          <w:b/>
          <w:sz w:val="22"/>
          <w:szCs w:val="22"/>
        </w:rPr>
        <w:t>■</w:t>
      </w:r>
      <w:bookmarkEnd w:id="1"/>
      <w:r>
        <w:rPr>
          <w:b/>
          <w:sz w:val="22"/>
          <w:szCs w:val="22"/>
        </w:rPr>
        <w:t xml:space="preserve">EMS  </w:t>
      </w:r>
      <w:bookmarkStart w:id="2" w:name="S勾选"/>
      <w:r>
        <w:rPr>
          <w:rFonts w:hint="eastAsia"/>
          <w:b/>
          <w:sz w:val="22"/>
          <w:szCs w:val="22"/>
        </w:rPr>
        <w:t>■</w:t>
      </w:r>
      <w:bookmarkEnd w:id="2"/>
      <w:r>
        <w:rPr>
          <w:b/>
          <w:sz w:val="22"/>
          <w:szCs w:val="22"/>
        </w:rPr>
        <w:t>OHSMS</w:t>
      </w:r>
    </w:p>
    <w:tbl>
      <w:tblPr>
        <w:tblStyle w:val="6"/>
        <w:tblW w:w="106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340"/>
        <w:gridCol w:w="2530"/>
        <w:gridCol w:w="1526"/>
        <w:gridCol w:w="436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2249" w:type="dxa"/>
            <w:gridSpan w:val="2"/>
            <w:tcBorders>
              <w:top w:val="single" w:color="auto" w:sz="8" w:space="0"/>
            </w:tcBorders>
            <w:vAlign w:val="center"/>
          </w:tcPr>
          <w:p>
            <w:pPr>
              <w:snapToGrid w:val="0"/>
              <w:spacing w:line="280" w:lineRule="exact"/>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受审核方名称</w:t>
            </w:r>
          </w:p>
        </w:tc>
        <w:tc>
          <w:tcPr>
            <w:tcW w:w="2530" w:type="dxa"/>
            <w:tcBorders>
              <w:top w:val="single" w:color="auto" w:sz="8" w:space="0"/>
            </w:tcBorders>
            <w:vAlign w:val="center"/>
          </w:tcPr>
          <w:p>
            <w:pPr>
              <w:snapToGrid w:val="0"/>
              <w:spacing w:line="280" w:lineRule="exact"/>
              <w:jc w:val="center"/>
              <w:rPr>
                <w:rFonts w:hint="eastAsia" w:asciiTheme="minorEastAsia" w:hAnsiTheme="minorEastAsia" w:eastAsiaTheme="minorEastAsia" w:cstheme="minorEastAsia"/>
                <w:b w:val="0"/>
                <w:bCs/>
                <w:sz w:val="21"/>
                <w:szCs w:val="21"/>
              </w:rPr>
            </w:pPr>
            <w:bookmarkStart w:id="3" w:name="组织名称"/>
            <w:r>
              <w:rPr>
                <w:rFonts w:asciiTheme="minorEastAsia" w:hAnsiTheme="minorEastAsia" w:eastAsiaTheme="minorEastAsia"/>
                <w:sz w:val="20"/>
              </w:rPr>
              <w:t>江西宏东建设有限公司</w:t>
            </w:r>
            <w:bookmarkEnd w:id="3"/>
          </w:p>
        </w:tc>
        <w:tc>
          <w:tcPr>
            <w:tcW w:w="5894" w:type="dxa"/>
            <w:gridSpan w:val="2"/>
            <w:tcBorders>
              <w:top w:val="single" w:color="auto" w:sz="8" w:space="0"/>
            </w:tcBorders>
            <w:vAlign w:val="center"/>
          </w:tcPr>
          <w:p>
            <w:pPr>
              <w:snapToGrid w:val="0"/>
              <w:spacing w:line="280" w:lineRule="exact"/>
              <w:ind w:left="52"/>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专业小类/项目代码</w:t>
            </w:r>
          </w:p>
          <w:p>
            <w:pPr>
              <w:snapToGrid w:val="0"/>
              <w:spacing w:line="280" w:lineRule="exact"/>
              <w:ind w:left="52"/>
              <w:jc w:val="center"/>
              <w:rPr>
                <w:rFonts w:hint="eastAsia" w:asciiTheme="minorEastAsia" w:hAnsiTheme="minorEastAsia" w:eastAsiaTheme="minorEastAsia" w:cstheme="minorEastAsia"/>
                <w:b w:val="0"/>
                <w:bCs/>
                <w:sz w:val="21"/>
                <w:szCs w:val="21"/>
              </w:rPr>
            </w:pPr>
            <w:bookmarkStart w:id="4" w:name="专业代码"/>
            <w:r>
              <w:rPr>
                <w:rFonts w:hint="eastAsia" w:asciiTheme="minorEastAsia" w:hAnsiTheme="minorEastAsia" w:eastAsiaTheme="minorEastAsia" w:cstheme="minorEastAsia"/>
                <w:b w:val="0"/>
                <w:bCs/>
                <w:sz w:val="21"/>
                <w:szCs w:val="21"/>
              </w:rPr>
              <w:t>Q：28.02.00;28.03.01;28.04.01;28.04.02;28.05.01</w:t>
            </w:r>
          </w:p>
          <w:p>
            <w:pPr>
              <w:snapToGrid w:val="0"/>
              <w:spacing w:line="280" w:lineRule="exact"/>
              <w:ind w:left="52"/>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E：28.02.00;28.03.01;28.04.01;28.04.02;28.05.01</w:t>
            </w:r>
          </w:p>
          <w:p>
            <w:pPr>
              <w:snapToGrid w:val="0"/>
              <w:spacing w:line="280" w:lineRule="exact"/>
              <w:ind w:left="52"/>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O：28.02.00;28.03.01;28.04.01;28.04.02;28.05.01</w:t>
            </w:r>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2249" w:type="dxa"/>
            <w:gridSpan w:val="2"/>
            <w:vAlign w:val="center"/>
          </w:tcPr>
          <w:p>
            <w:pPr>
              <w:snapToGrid w:val="0"/>
              <w:spacing w:line="280" w:lineRule="exact"/>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教师姓名</w:t>
            </w:r>
          </w:p>
        </w:tc>
        <w:tc>
          <w:tcPr>
            <w:tcW w:w="2530" w:type="dxa"/>
            <w:vAlign w:val="center"/>
          </w:tcPr>
          <w:p>
            <w:pPr>
              <w:snapToGrid w:val="0"/>
              <w:spacing w:line="280" w:lineRule="exact"/>
              <w:jc w:val="center"/>
              <w:rPr>
                <w:rFonts w:hint="eastAsia" w:asciiTheme="minorEastAsia" w:hAnsiTheme="minorEastAsia" w:eastAsiaTheme="minorEastAsia" w:cstheme="minorEastAsia"/>
                <w:b w:val="0"/>
                <w:bCs/>
                <w:sz w:val="21"/>
                <w:szCs w:val="21"/>
              </w:rPr>
            </w:pPr>
            <w:r>
              <w:rPr>
                <w:sz w:val="20"/>
              </w:rPr>
              <w:t>徐秋平</w:t>
            </w:r>
          </w:p>
        </w:tc>
        <w:tc>
          <w:tcPr>
            <w:tcW w:w="1526" w:type="dxa"/>
            <w:vAlign w:val="center"/>
          </w:tcPr>
          <w:p>
            <w:pPr>
              <w:snapToGrid w:val="0"/>
              <w:spacing w:line="280" w:lineRule="exact"/>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专业</w:t>
            </w:r>
          </w:p>
        </w:tc>
        <w:tc>
          <w:tcPr>
            <w:tcW w:w="4368" w:type="dxa"/>
            <w:vAlign w:val="center"/>
          </w:tcPr>
          <w:p>
            <w:pPr>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Q:28.05.01</w:t>
            </w:r>
          </w:p>
          <w:p>
            <w:pPr>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E:28.05.01</w:t>
            </w:r>
          </w:p>
          <w:p>
            <w:pPr>
              <w:snapToGrid w:val="0"/>
              <w:spacing w:line="280" w:lineRule="exact"/>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O:28.05.01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2249" w:type="dxa"/>
            <w:gridSpan w:val="2"/>
            <w:vAlign w:val="center"/>
          </w:tcPr>
          <w:p>
            <w:pPr>
              <w:snapToGrid w:val="0"/>
              <w:spacing w:line="280" w:lineRule="exact"/>
              <w:jc w:val="center"/>
              <w:rPr>
                <w:rFonts w:hint="eastAsia" w:asciiTheme="minorEastAsia" w:hAnsiTheme="minorEastAsia" w:eastAsiaTheme="minorEastAsia" w:cstheme="minorEastAsia"/>
                <w:b w:val="0"/>
                <w:bCs/>
                <w:sz w:val="21"/>
                <w:szCs w:val="21"/>
              </w:rPr>
            </w:pPr>
          </w:p>
        </w:tc>
        <w:tc>
          <w:tcPr>
            <w:tcW w:w="2530" w:type="dxa"/>
            <w:vAlign w:val="center"/>
          </w:tcPr>
          <w:p>
            <w:pPr>
              <w:snapToGrid w:val="0"/>
              <w:spacing w:line="280" w:lineRule="exact"/>
              <w:jc w:val="center"/>
              <w:rPr>
                <w:rFonts w:hint="eastAsia" w:asciiTheme="minorEastAsia" w:hAnsiTheme="minorEastAsia" w:eastAsiaTheme="minorEastAsia" w:cstheme="minorEastAsia"/>
                <w:b w:val="0"/>
                <w:bCs/>
                <w:sz w:val="21"/>
                <w:szCs w:val="21"/>
              </w:rPr>
            </w:pPr>
          </w:p>
        </w:tc>
        <w:tc>
          <w:tcPr>
            <w:tcW w:w="1526" w:type="dxa"/>
            <w:vAlign w:val="center"/>
          </w:tcPr>
          <w:p>
            <w:pPr>
              <w:snapToGrid w:val="0"/>
              <w:spacing w:line="280" w:lineRule="exact"/>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培训地点</w:t>
            </w:r>
          </w:p>
        </w:tc>
        <w:tc>
          <w:tcPr>
            <w:tcW w:w="4368" w:type="dxa"/>
            <w:vAlign w:val="center"/>
          </w:tcPr>
          <w:p>
            <w:pPr>
              <w:snapToGrid w:val="0"/>
              <w:spacing w:line="280" w:lineRule="exact"/>
              <w:jc w:val="center"/>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会议室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09" w:type="dxa"/>
            <w:vMerge w:val="restart"/>
            <w:tcBorders>
              <w:left w:val="single" w:color="auto" w:sz="4" w:space="0"/>
            </w:tcBorders>
            <w:vAlign w:val="center"/>
          </w:tcPr>
          <w:p>
            <w:pPr>
              <w:snapToGrid w:val="0"/>
              <w:spacing w:line="360" w:lineRule="exact"/>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受培训人员</w:t>
            </w:r>
          </w:p>
        </w:tc>
        <w:tc>
          <w:tcPr>
            <w:tcW w:w="1340" w:type="dxa"/>
            <w:vAlign w:val="center"/>
          </w:tcPr>
          <w:p>
            <w:pPr>
              <w:snapToGrid w:val="0"/>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姓名</w:t>
            </w:r>
          </w:p>
        </w:tc>
        <w:tc>
          <w:tcPr>
            <w:tcW w:w="8424" w:type="dxa"/>
            <w:gridSpan w:val="3"/>
            <w:vAlign w:val="center"/>
          </w:tcPr>
          <w:p>
            <w:pPr>
              <w:snapToGrid w:val="0"/>
              <w:spacing w:line="360" w:lineRule="exact"/>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rPr>
              <w:t>王志慧</w:t>
            </w:r>
            <w:r>
              <w:rPr>
                <w:rFonts w:hint="eastAsia" w:asciiTheme="minorEastAsia" w:hAnsiTheme="minorEastAsia" w:eastAsiaTheme="minorEastAsia" w:cstheme="minorEastAsia"/>
                <w:b w:val="0"/>
                <w:bCs/>
                <w:sz w:val="21"/>
                <w:szCs w:val="21"/>
                <w:lang w:eastAsia="zh-CN"/>
              </w:rPr>
              <w:t>、</w:t>
            </w:r>
            <w:r>
              <w:rPr>
                <w:rFonts w:hint="eastAsia" w:asciiTheme="minorEastAsia" w:hAnsiTheme="minorEastAsia" w:eastAsiaTheme="minorEastAsia" w:cstheme="minorEastAsia"/>
                <w:b w:val="0"/>
                <w:bCs/>
                <w:sz w:val="21"/>
                <w:szCs w:val="21"/>
                <w:lang w:val="en-US" w:eastAsia="zh-CN"/>
              </w:rPr>
              <w:t xml:space="preserve">                    </w:t>
            </w:r>
            <w:r>
              <w:rPr>
                <w:rFonts w:hint="eastAsia" w:asciiTheme="minorEastAsia" w:hAnsiTheme="minorEastAsia" w:eastAsiaTheme="minorEastAsia" w:cstheme="minorEastAsia"/>
                <w:b w:val="0"/>
                <w:bCs/>
                <w:sz w:val="21"/>
                <w:szCs w:val="21"/>
                <w:lang w:eastAsia="zh-CN"/>
              </w:rPr>
              <w:t xml:space="preserve">伍光华、 </w:t>
            </w:r>
            <w:r>
              <w:rPr>
                <w:rFonts w:hint="eastAsia" w:asciiTheme="minorEastAsia" w:hAnsiTheme="minorEastAsia" w:eastAsiaTheme="minorEastAsia" w:cstheme="minorEastAsia"/>
                <w:b w:val="0"/>
                <w:bCs/>
                <w:sz w:val="21"/>
                <w:szCs w:val="21"/>
                <w:lang w:val="en-US" w:eastAsia="zh-CN"/>
              </w:rPr>
              <w:t xml:space="preserve">         </w:t>
            </w:r>
            <w:r>
              <w:rPr>
                <w:rFonts w:hint="eastAsia" w:asciiTheme="minorEastAsia" w:hAnsiTheme="minorEastAsia" w:eastAsiaTheme="minorEastAsia" w:cstheme="minorEastAsia"/>
                <w:b w:val="0"/>
                <w:bCs/>
                <w:sz w:val="21"/>
                <w:szCs w:val="21"/>
                <w:lang w:eastAsia="zh-CN"/>
              </w:rPr>
              <w:t>文波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09" w:type="dxa"/>
            <w:vMerge w:val="continue"/>
            <w:tcBorders>
              <w:left w:val="single" w:color="auto" w:sz="4" w:space="0"/>
            </w:tcBorders>
            <w:vAlign w:val="center"/>
          </w:tcPr>
          <w:p>
            <w:pPr>
              <w:snapToGrid w:val="0"/>
              <w:spacing w:line="360" w:lineRule="exact"/>
              <w:jc w:val="center"/>
              <w:rPr>
                <w:rFonts w:hint="eastAsia" w:asciiTheme="minorEastAsia" w:hAnsiTheme="minorEastAsia" w:eastAsiaTheme="minorEastAsia" w:cstheme="minorEastAsia"/>
                <w:b w:val="0"/>
                <w:bCs/>
                <w:sz w:val="21"/>
                <w:szCs w:val="21"/>
              </w:rPr>
            </w:pPr>
          </w:p>
        </w:tc>
        <w:tc>
          <w:tcPr>
            <w:tcW w:w="1340" w:type="dxa"/>
            <w:vAlign w:val="center"/>
          </w:tcPr>
          <w:p>
            <w:pPr>
              <w:snapToGrid w:val="0"/>
              <w:spacing w:line="280" w:lineRule="exact"/>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专业代码</w:t>
            </w:r>
          </w:p>
        </w:tc>
        <w:tc>
          <w:tcPr>
            <w:tcW w:w="8424" w:type="dxa"/>
            <w:gridSpan w:val="3"/>
            <w:vAlign w:val="center"/>
          </w:tcPr>
          <w:p>
            <w:pPr>
              <w:jc w:val="both"/>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Q:28.02.00,28.03.01,28.04.01,28.04.02</w:t>
            </w:r>
          </w:p>
          <w:p>
            <w:pPr>
              <w:jc w:val="both"/>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E:28.02.00,28.03.01,28.04.01,28.04.02</w:t>
            </w:r>
          </w:p>
          <w:p>
            <w:pPr>
              <w:snapToGrid w:val="0"/>
              <w:spacing w:line="360" w:lineRule="exact"/>
              <w:jc w:val="both"/>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rPr>
              <w:t>O:28.02.00,28.03.01,28.04.01,28.04.02</w:t>
            </w:r>
            <w:r>
              <w:rPr>
                <w:rFonts w:hint="eastAsia" w:asciiTheme="minorEastAsia" w:hAnsiTheme="minorEastAsia" w:eastAsiaTheme="minorEastAsia" w:cstheme="minorEastAsia"/>
                <w:b w:val="0"/>
                <w:bCs/>
                <w:sz w:val="21"/>
                <w:szCs w:val="21"/>
                <w:lang w:val="en-US" w:eastAsia="zh-CN"/>
              </w:rPr>
              <w:t xml:space="preserve">          无        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2249" w:type="dxa"/>
            <w:gridSpan w:val="2"/>
            <w:tcBorders>
              <w:left w:val="single" w:color="auto" w:sz="4" w:space="0"/>
            </w:tcBorders>
            <w:vAlign w:val="center"/>
          </w:tcPr>
          <w:p>
            <w:pPr>
              <w:snapToGrid w:val="0"/>
              <w:spacing w:line="280" w:lineRule="exact"/>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生产工艺/</w:t>
            </w:r>
          </w:p>
          <w:p>
            <w:pPr>
              <w:snapToGrid w:val="0"/>
              <w:spacing w:line="280" w:lineRule="exact"/>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服务过程</w:t>
            </w:r>
          </w:p>
        </w:tc>
        <w:tc>
          <w:tcPr>
            <w:tcW w:w="8424" w:type="dxa"/>
            <w:gridSpan w:val="3"/>
            <w:vAlign w:val="center"/>
          </w:tcPr>
          <w:p>
            <w:pPr>
              <w:snapToGrid w:val="0"/>
              <w:spacing w:line="280" w:lineRule="exac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rPr>
              <w:t>测量放线</w:t>
            </w:r>
            <w:r>
              <w:rPr>
                <w:rFonts w:hint="eastAsia" w:asciiTheme="minorEastAsia" w:hAnsiTheme="minorEastAsia" w:eastAsiaTheme="minorEastAsia" w:cstheme="minorEastAsia"/>
                <w:b w:val="0"/>
                <w:bCs/>
                <w:sz w:val="21"/>
                <w:szCs w:val="21"/>
                <w:lang w:val="en-US" w:eastAsia="zh-CN"/>
              </w:rPr>
              <w:t>--土方开挖、回填--清淤--砂石垫层--砼预制块护坡--沥青填缝--竣工交验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65" w:hRule="atLeast"/>
          <w:jc w:val="center"/>
        </w:trPr>
        <w:tc>
          <w:tcPr>
            <w:tcW w:w="2249" w:type="dxa"/>
            <w:gridSpan w:val="2"/>
            <w:tcBorders>
              <w:left w:val="single" w:color="auto" w:sz="4" w:space="0"/>
            </w:tcBorders>
            <w:vAlign w:val="center"/>
          </w:tcPr>
          <w:p>
            <w:pPr>
              <w:snapToGrid w:val="0"/>
              <w:spacing w:line="280" w:lineRule="exact"/>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生产过程/服务过程</w:t>
            </w:r>
          </w:p>
          <w:p>
            <w:pPr>
              <w:snapToGrid w:val="0"/>
              <w:spacing w:line="280" w:lineRule="exact"/>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的风险及控制措施</w:t>
            </w:r>
          </w:p>
          <w:p>
            <w:pPr>
              <w:snapToGrid w:val="0"/>
              <w:spacing w:line="280" w:lineRule="exact"/>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特殊过程的控制</w:t>
            </w:r>
          </w:p>
        </w:tc>
        <w:tc>
          <w:tcPr>
            <w:tcW w:w="8424" w:type="dxa"/>
            <w:gridSpan w:val="3"/>
            <w:vAlign w:val="center"/>
          </w:tcPr>
          <w:p>
            <w:pPr>
              <w:snapToGrid w:val="0"/>
              <w:spacing w:line="280" w:lineRule="exact"/>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lang w:val="en-US" w:eastAsia="zh-CN"/>
              </w:rPr>
              <w:t>关键过程：</w:t>
            </w:r>
            <w:r>
              <w:rPr>
                <w:rFonts w:hint="eastAsia" w:asciiTheme="minorEastAsia" w:hAnsiTheme="minorEastAsia" w:eastAsiaTheme="minorEastAsia" w:cstheme="minorEastAsia"/>
                <w:b w:val="0"/>
                <w:bCs/>
                <w:sz w:val="21"/>
                <w:szCs w:val="21"/>
              </w:rPr>
              <w:t>管涵施工管道安装</w:t>
            </w:r>
          </w:p>
          <w:p>
            <w:pPr>
              <w:snapToGrid w:val="0"/>
              <w:spacing w:line="280" w:lineRule="exact"/>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控制方法：编制生产计划、作业指导书、技术交底、现场培训、人员持证上岗施工过程平行检查、巡视旁站等。</w:t>
            </w:r>
          </w:p>
          <w:p>
            <w:pPr>
              <w:snapToGrid w:val="0"/>
              <w:spacing w:line="280" w:lineRule="exact"/>
              <w:jc w:val="center"/>
              <w:rPr>
                <w:rFonts w:hint="eastAsia" w:asciiTheme="minorEastAsia" w:hAnsiTheme="minorEastAsia" w:eastAsiaTheme="minorEastAsia" w:cstheme="minorEastAsia"/>
                <w:b w:val="0"/>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2249" w:type="dxa"/>
            <w:gridSpan w:val="2"/>
            <w:tcBorders>
              <w:left w:val="single" w:color="auto" w:sz="4" w:space="0"/>
            </w:tcBorders>
            <w:vAlign w:val="center"/>
          </w:tcPr>
          <w:p>
            <w:pPr>
              <w:snapToGrid w:val="0"/>
              <w:spacing w:line="280" w:lineRule="exact"/>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重要环境及控制措施</w:t>
            </w:r>
          </w:p>
        </w:tc>
        <w:tc>
          <w:tcPr>
            <w:tcW w:w="8424" w:type="dxa"/>
            <w:gridSpan w:val="3"/>
            <w:vAlign w:val="center"/>
          </w:tcPr>
          <w:p>
            <w:pPr>
              <w:snapToGrid w:val="0"/>
              <w:spacing w:line="280" w:lineRule="exact"/>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val="en-US" w:eastAsia="zh-CN"/>
              </w:rPr>
              <w:t>1.</w:t>
            </w:r>
            <w:r>
              <w:rPr>
                <w:rFonts w:hint="eastAsia" w:asciiTheme="minorEastAsia" w:hAnsiTheme="minorEastAsia" w:eastAsiaTheme="minorEastAsia" w:cstheme="minorEastAsia"/>
                <w:b w:val="0"/>
                <w:bCs/>
                <w:sz w:val="21"/>
                <w:szCs w:val="21"/>
              </w:rPr>
              <w:t>控制噪声</w:t>
            </w:r>
            <w:r>
              <w:rPr>
                <w:rFonts w:hint="eastAsia" w:asciiTheme="minorEastAsia" w:hAnsiTheme="minorEastAsia" w:eastAsiaTheme="minorEastAsia" w:cstheme="minorEastAsia"/>
                <w:b w:val="0"/>
                <w:bCs/>
                <w:sz w:val="21"/>
                <w:szCs w:val="21"/>
                <w:lang w:eastAsia="zh-CN"/>
              </w:rPr>
              <w:t>：开工前，加工及产生噪声较大的施工作业区域应使用噪声小的环保施工设施或有效的降噪措施。</w:t>
            </w:r>
          </w:p>
          <w:p>
            <w:pPr>
              <w:snapToGrid w:val="0"/>
              <w:spacing w:line="280" w:lineRule="exact"/>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val="en-US" w:eastAsia="zh-CN"/>
              </w:rPr>
              <w:t>2.</w:t>
            </w:r>
            <w:r>
              <w:rPr>
                <w:rFonts w:hint="eastAsia" w:asciiTheme="minorEastAsia" w:hAnsiTheme="minorEastAsia" w:eastAsiaTheme="minorEastAsia" w:cstheme="minorEastAsia"/>
                <w:b w:val="0"/>
                <w:bCs/>
                <w:sz w:val="21"/>
                <w:szCs w:val="21"/>
              </w:rPr>
              <w:t>预防火灾、爆炸</w:t>
            </w:r>
            <w:r>
              <w:rPr>
                <w:rFonts w:hint="eastAsia" w:asciiTheme="minorEastAsia" w:hAnsiTheme="minorEastAsia" w:eastAsiaTheme="minorEastAsia" w:cstheme="minorEastAsia"/>
                <w:b w:val="0"/>
                <w:bCs/>
                <w:sz w:val="21"/>
                <w:szCs w:val="21"/>
                <w:lang w:eastAsia="zh-CN"/>
              </w:rPr>
              <w:t>：制定完善的管理制度，加强员工消防安全、应急响应知识培训，定期进行检查制定完善的管理制度，加强员工消防安全、应急响应知识培训，定期进行检查</w:t>
            </w:r>
          </w:p>
          <w:p>
            <w:pPr>
              <w:snapToGrid w:val="0"/>
              <w:spacing w:line="280" w:lineRule="exact"/>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val="en-US" w:eastAsia="zh-CN"/>
              </w:rPr>
              <w:t>3.</w:t>
            </w:r>
            <w:r>
              <w:rPr>
                <w:rFonts w:hint="eastAsia" w:asciiTheme="minorEastAsia" w:hAnsiTheme="minorEastAsia" w:eastAsiaTheme="minorEastAsia" w:cstheme="minorEastAsia"/>
                <w:b w:val="0"/>
                <w:bCs/>
                <w:sz w:val="21"/>
                <w:szCs w:val="21"/>
              </w:rPr>
              <w:t>按规定处置固体废弃物</w:t>
            </w:r>
            <w:r>
              <w:rPr>
                <w:rFonts w:hint="eastAsia" w:asciiTheme="minorEastAsia" w:hAnsiTheme="minorEastAsia" w:eastAsiaTheme="minorEastAsia" w:cstheme="minorEastAsia"/>
                <w:b w:val="0"/>
                <w:bCs/>
                <w:sz w:val="21"/>
                <w:szCs w:val="21"/>
                <w:lang w:eastAsia="zh-CN"/>
              </w:rPr>
              <w:t>：施工中中的生活垃圾，施工垃圾，现场不再利用，按现场整体布局，分类堆放，并标识，按甲方要求运到指定地点，或及时联系环卫部门运走。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70" w:hRule="atLeast"/>
          <w:jc w:val="center"/>
        </w:trPr>
        <w:tc>
          <w:tcPr>
            <w:tcW w:w="2249" w:type="dxa"/>
            <w:gridSpan w:val="2"/>
            <w:tcBorders>
              <w:left w:val="single" w:color="auto" w:sz="4" w:space="0"/>
            </w:tcBorders>
            <w:vAlign w:val="center"/>
          </w:tcPr>
          <w:p>
            <w:pPr>
              <w:snapToGrid w:val="0"/>
              <w:spacing w:line="280" w:lineRule="exact"/>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不可接受风险的危险源及控制措施</w:t>
            </w:r>
          </w:p>
        </w:tc>
        <w:tc>
          <w:tcPr>
            <w:tcW w:w="8424" w:type="dxa"/>
            <w:gridSpan w:val="3"/>
            <w:vAlign w:val="center"/>
          </w:tcPr>
          <w:p>
            <w:pPr>
              <w:snapToGrid w:val="0"/>
              <w:spacing w:line="280" w:lineRule="exact"/>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val="en-US" w:eastAsia="zh-CN"/>
              </w:rPr>
              <w:t>1.</w:t>
            </w:r>
            <w:r>
              <w:rPr>
                <w:rFonts w:hint="eastAsia" w:asciiTheme="minorEastAsia" w:hAnsiTheme="minorEastAsia" w:eastAsiaTheme="minorEastAsia" w:cstheme="minorEastAsia"/>
                <w:b w:val="0"/>
                <w:bCs/>
                <w:sz w:val="21"/>
                <w:szCs w:val="21"/>
              </w:rPr>
              <w:t>机械伤害</w:t>
            </w:r>
            <w:r>
              <w:rPr>
                <w:rFonts w:hint="eastAsia" w:asciiTheme="minorEastAsia" w:hAnsiTheme="minorEastAsia" w:eastAsiaTheme="minorEastAsia" w:cstheme="minorEastAsia"/>
                <w:b w:val="0"/>
                <w:bCs/>
                <w:sz w:val="21"/>
                <w:szCs w:val="21"/>
                <w:lang w:eastAsia="zh-CN"/>
              </w:rPr>
              <w:t>：为杜绝机械伤害，在设备使用前进行全面检查，制定设备安全操作规程。公司安全检查小组，定期到施工现场检查设备安全正确操作。</w:t>
            </w:r>
          </w:p>
          <w:p>
            <w:pPr>
              <w:snapToGrid w:val="0"/>
              <w:spacing w:line="280" w:lineRule="exact"/>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val="en-US" w:eastAsia="zh-CN"/>
              </w:rPr>
              <w:t>2.</w:t>
            </w:r>
            <w:r>
              <w:rPr>
                <w:rFonts w:hint="eastAsia" w:asciiTheme="minorEastAsia" w:hAnsiTheme="minorEastAsia" w:eastAsiaTheme="minorEastAsia" w:cstheme="minorEastAsia"/>
                <w:b w:val="0"/>
                <w:bCs/>
                <w:sz w:val="21"/>
                <w:szCs w:val="21"/>
                <w:lang w:eastAsia="zh-CN"/>
              </w:rPr>
              <w:t>中暑：高温室外作业时间在11：00－15：00时间段不安排施工，对施工人员发放降暑药品仁丹和十滴水，并供应冰冻绿豆汤</w:t>
            </w:r>
          </w:p>
          <w:p>
            <w:pPr>
              <w:snapToGrid w:val="0"/>
              <w:spacing w:line="280" w:lineRule="exact"/>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val="en-US" w:eastAsia="zh-CN"/>
              </w:rPr>
              <w:t>3.</w:t>
            </w:r>
            <w:r>
              <w:rPr>
                <w:rFonts w:hint="eastAsia" w:asciiTheme="minorEastAsia" w:hAnsiTheme="minorEastAsia" w:eastAsiaTheme="minorEastAsia" w:cstheme="minorEastAsia"/>
                <w:b w:val="0"/>
                <w:bCs/>
                <w:sz w:val="21"/>
                <w:szCs w:val="21"/>
                <w:lang w:eastAsia="zh-CN"/>
              </w:rPr>
              <w:t>触电：（1）、工程开工前，按《施工现场临时用电安全技术规范》要求编制有针对性的临时用电施工组织设计，施工组织设计应包括负荷计算，电线、低压电器等规格、类型的选择。绘制用电布置平面图等。并完成审批手续。作业前检查设计书。</w:t>
            </w:r>
          </w:p>
          <w:p>
            <w:pPr>
              <w:snapToGrid w:val="0"/>
              <w:spacing w:line="280" w:lineRule="exact"/>
              <w:jc w:val="both"/>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（2）、工程开工前对全体人员进行用电安全技术交底，告知安全用电所采取的安全措施，明确应遵守的操作规程及注意事项，在开工时检查交底记录。</w:t>
            </w:r>
          </w:p>
          <w:p>
            <w:pPr>
              <w:snapToGrid w:val="0"/>
              <w:spacing w:line="280" w:lineRule="exact"/>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（3）、在布设临时用电线路、设施时，按《施工现场临时用电安全技术规范》要求和《临时用电施工组织设计》的布置严格实施，完成后进行检查。</w:t>
            </w:r>
          </w:p>
          <w:p>
            <w:pPr>
              <w:snapToGrid w:val="0"/>
              <w:spacing w:line="280" w:lineRule="exact"/>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（4）、使用用电机具时，配电箱、开关箱必须设置漏电保护器，实行一机一闸一漏电保护器，现场安全员应每周进行检查。</w:t>
            </w:r>
          </w:p>
          <w:p>
            <w:pPr>
              <w:snapToGrid w:val="0"/>
              <w:spacing w:line="280" w:lineRule="exact"/>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eastAsia="zh-CN"/>
              </w:rPr>
              <w:t>（5）、电工必须经培训合格持证上岗。应做好维修记录。必须按规定穿戴和配好相应的劳动防护用品，停电的设备必须拉闸、断电，锁好开关箱。现场安全员应每周进行检查。</w:t>
            </w:r>
          </w:p>
          <w:p>
            <w:pPr>
              <w:snapToGrid w:val="0"/>
              <w:spacing w:line="280" w:lineRule="exact"/>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val="en-US" w:eastAsia="zh-CN"/>
              </w:rPr>
              <w:t>4.</w:t>
            </w:r>
            <w:r>
              <w:rPr>
                <w:rFonts w:hint="eastAsia" w:asciiTheme="minorEastAsia" w:hAnsiTheme="minorEastAsia" w:eastAsiaTheme="minorEastAsia" w:cstheme="minorEastAsia"/>
                <w:b w:val="0"/>
                <w:bCs/>
                <w:sz w:val="21"/>
                <w:szCs w:val="21"/>
                <w:lang w:eastAsia="zh-CN"/>
              </w:rPr>
              <w:t>火灾爆炸：氧气瓶和乙炔瓶分开存放,间距在5米开外，遇明火必须10米。定制一小推车。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2249" w:type="dxa"/>
            <w:gridSpan w:val="2"/>
            <w:tcBorders>
              <w:left w:val="single" w:color="auto" w:sz="4" w:space="0"/>
            </w:tcBorders>
            <w:vAlign w:val="center"/>
          </w:tcPr>
          <w:p>
            <w:pPr>
              <w:snapToGrid w:val="0"/>
              <w:spacing w:line="280" w:lineRule="exact"/>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相关法律法规的要求及产品标准</w:t>
            </w:r>
          </w:p>
        </w:tc>
        <w:tc>
          <w:tcPr>
            <w:tcW w:w="8424" w:type="dxa"/>
            <w:gridSpan w:val="3"/>
            <w:vAlign w:val="center"/>
          </w:tcPr>
          <w:p>
            <w:pPr>
              <w:snapToGrid w:val="0"/>
              <w:spacing w:line="280" w:lineRule="exact"/>
              <w:jc w:val="center"/>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eastAsia="zh-CN"/>
              </w:rPr>
              <w:t>地下防水工程质量验收规范</w:t>
            </w:r>
            <w:r>
              <w:rPr>
                <w:rFonts w:hint="eastAsia" w:asciiTheme="minorEastAsia" w:hAnsiTheme="minorEastAsia" w:eastAsiaTheme="minorEastAsia" w:cstheme="minorEastAsia"/>
                <w:b w:val="0"/>
                <w:bCs/>
                <w:sz w:val="21"/>
                <w:szCs w:val="21"/>
                <w:lang w:val="en-US" w:eastAsia="zh-CN"/>
              </w:rPr>
              <w:t xml:space="preserve"> </w:t>
            </w:r>
            <w:r>
              <w:rPr>
                <w:rFonts w:hint="eastAsia" w:asciiTheme="minorEastAsia" w:hAnsiTheme="minorEastAsia" w:eastAsiaTheme="minorEastAsia" w:cstheme="minorEastAsia"/>
                <w:b w:val="0"/>
                <w:bCs/>
                <w:sz w:val="21"/>
                <w:szCs w:val="21"/>
                <w:lang w:eastAsia="zh-CN"/>
              </w:rPr>
              <w:t>GB 50208-2011、建筑给水排水及采暖工程施工质量验收规范</w:t>
            </w:r>
            <w:r>
              <w:rPr>
                <w:rFonts w:hint="eastAsia" w:asciiTheme="minorEastAsia" w:hAnsiTheme="minorEastAsia" w:eastAsiaTheme="minorEastAsia" w:cstheme="minorEastAsia"/>
                <w:b w:val="0"/>
                <w:bCs/>
                <w:sz w:val="21"/>
                <w:szCs w:val="21"/>
                <w:lang w:val="en-US" w:eastAsia="zh-CN"/>
              </w:rPr>
              <w:t xml:space="preserve"> </w:t>
            </w:r>
            <w:r>
              <w:rPr>
                <w:rFonts w:hint="eastAsia" w:asciiTheme="minorEastAsia" w:hAnsiTheme="minorEastAsia" w:eastAsiaTheme="minorEastAsia" w:cstheme="minorEastAsia"/>
                <w:b w:val="0"/>
                <w:bCs/>
                <w:sz w:val="21"/>
                <w:szCs w:val="21"/>
                <w:lang w:eastAsia="zh-CN"/>
              </w:rPr>
              <w:t>GB 50242-2002、建筑电气工程施工质量验收规范</w:t>
            </w:r>
            <w:r>
              <w:rPr>
                <w:rFonts w:hint="eastAsia" w:asciiTheme="minorEastAsia" w:hAnsiTheme="minorEastAsia" w:eastAsiaTheme="minorEastAsia" w:cstheme="minorEastAsia"/>
                <w:b w:val="0"/>
                <w:bCs/>
                <w:sz w:val="21"/>
                <w:szCs w:val="21"/>
                <w:lang w:val="en-US" w:eastAsia="zh-CN"/>
              </w:rPr>
              <w:t xml:space="preserve"> </w:t>
            </w:r>
            <w:r>
              <w:rPr>
                <w:rFonts w:hint="eastAsia" w:asciiTheme="minorEastAsia" w:hAnsiTheme="minorEastAsia" w:eastAsiaTheme="minorEastAsia" w:cstheme="minorEastAsia"/>
                <w:b w:val="0"/>
                <w:bCs/>
                <w:sz w:val="21"/>
                <w:szCs w:val="21"/>
                <w:lang w:eastAsia="zh-CN"/>
              </w:rPr>
              <w:t>GB 50303-201</w:t>
            </w:r>
            <w:r>
              <w:rPr>
                <w:rFonts w:hint="eastAsia" w:asciiTheme="minorEastAsia" w:hAnsiTheme="minorEastAsia" w:eastAsiaTheme="minorEastAsia" w:cstheme="minorEastAsia"/>
                <w:b w:val="0"/>
                <w:bCs/>
                <w:sz w:val="21"/>
                <w:szCs w:val="21"/>
                <w:lang w:val="en-US" w:eastAsia="zh-CN"/>
              </w:rPr>
              <w:t>5、</w:t>
            </w:r>
            <w:r>
              <w:rPr>
                <w:rFonts w:hint="eastAsia" w:asciiTheme="minorEastAsia" w:hAnsiTheme="minorEastAsia" w:eastAsiaTheme="minorEastAsia" w:cstheme="minorEastAsia"/>
                <w:b w:val="0"/>
                <w:bCs/>
                <w:sz w:val="21"/>
                <w:szCs w:val="21"/>
                <w:lang w:eastAsia="zh-CN"/>
              </w:rPr>
              <w:t>建筑结构荷载规范</w:t>
            </w:r>
            <w:r>
              <w:rPr>
                <w:rFonts w:hint="eastAsia" w:asciiTheme="minorEastAsia" w:hAnsiTheme="minorEastAsia" w:eastAsiaTheme="minorEastAsia" w:cstheme="minorEastAsia"/>
                <w:b w:val="0"/>
                <w:bCs/>
                <w:sz w:val="21"/>
                <w:szCs w:val="21"/>
                <w:lang w:val="en-US" w:eastAsia="zh-CN"/>
              </w:rPr>
              <w:t xml:space="preserve"> </w:t>
            </w:r>
            <w:r>
              <w:rPr>
                <w:rFonts w:hint="eastAsia" w:asciiTheme="minorEastAsia" w:hAnsiTheme="minorEastAsia" w:eastAsiaTheme="minorEastAsia" w:cstheme="minorEastAsia"/>
                <w:b w:val="0"/>
                <w:bCs/>
                <w:sz w:val="21"/>
                <w:szCs w:val="21"/>
                <w:lang w:eastAsia="zh-CN"/>
              </w:rPr>
              <w:t>GB 50009-20</w:t>
            </w:r>
            <w:r>
              <w:rPr>
                <w:rFonts w:hint="eastAsia" w:asciiTheme="minorEastAsia" w:hAnsiTheme="minorEastAsia" w:eastAsiaTheme="minorEastAsia" w:cstheme="minorEastAsia"/>
                <w:b w:val="0"/>
                <w:bCs/>
                <w:sz w:val="21"/>
                <w:szCs w:val="21"/>
                <w:lang w:val="en-US" w:eastAsia="zh-CN"/>
              </w:rPr>
              <w:t>12、</w:t>
            </w:r>
            <w:r>
              <w:rPr>
                <w:rFonts w:hint="eastAsia" w:asciiTheme="minorEastAsia" w:hAnsiTheme="minorEastAsia" w:eastAsiaTheme="minorEastAsia" w:cstheme="minorEastAsia"/>
                <w:b w:val="0"/>
                <w:bCs/>
                <w:sz w:val="21"/>
                <w:szCs w:val="21"/>
                <w:lang w:eastAsia="zh-CN"/>
              </w:rPr>
              <w:t>建筑地基处理技术规范</w:t>
            </w:r>
            <w:r>
              <w:rPr>
                <w:rFonts w:hint="eastAsia" w:asciiTheme="minorEastAsia" w:hAnsiTheme="minorEastAsia" w:eastAsiaTheme="minorEastAsia" w:cstheme="minorEastAsia"/>
                <w:b w:val="0"/>
                <w:bCs/>
                <w:sz w:val="21"/>
                <w:szCs w:val="21"/>
                <w:lang w:val="en-US" w:eastAsia="zh-CN"/>
              </w:rPr>
              <w:t xml:space="preserve"> </w:t>
            </w:r>
            <w:r>
              <w:rPr>
                <w:rFonts w:hint="eastAsia" w:asciiTheme="minorEastAsia" w:hAnsiTheme="minorEastAsia" w:eastAsiaTheme="minorEastAsia" w:cstheme="minorEastAsia"/>
                <w:b w:val="0"/>
                <w:bCs/>
                <w:sz w:val="21"/>
                <w:szCs w:val="21"/>
                <w:lang w:eastAsia="zh-CN"/>
              </w:rPr>
              <w:t>JGJ 79-2</w:t>
            </w:r>
            <w:r>
              <w:rPr>
                <w:rFonts w:hint="eastAsia" w:asciiTheme="minorEastAsia" w:hAnsiTheme="minorEastAsia" w:eastAsiaTheme="minorEastAsia" w:cstheme="minorEastAsia"/>
                <w:b w:val="0"/>
                <w:bCs/>
                <w:sz w:val="21"/>
                <w:szCs w:val="21"/>
                <w:lang w:val="en-US" w:eastAsia="zh-CN"/>
              </w:rPr>
              <w:t>012、</w:t>
            </w:r>
            <w:r>
              <w:rPr>
                <w:rFonts w:hint="eastAsia" w:asciiTheme="minorEastAsia" w:hAnsiTheme="minorEastAsia" w:eastAsiaTheme="minorEastAsia" w:cstheme="minorEastAsia"/>
                <w:b w:val="0"/>
                <w:bCs/>
                <w:sz w:val="21"/>
                <w:szCs w:val="21"/>
                <w:lang w:eastAsia="zh-CN"/>
              </w:rPr>
              <w:t>建筑基坑支护技术规程</w:t>
            </w:r>
            <w:r>
              <w:rPr>
                <w:rFonts w:hint="eastAsia" w:asciiTheme="minorEastAsia" w:hAnsiTheme="minorEastAsia" w:eastAsiaTheme="minorEastAsia" w:cstheme="minorEastAsia"/>
                <w:b w:val="0"/>
                <w:bCs/>
                <w:sz w:val="21"/>
                <w:szCs w:val="21"/>
                <w:lang w:val="en-US" w:eastAsia="zh-CN"/>
              </w:rPr>
              <w:t xml:space="preserve"> </w:t>
            </w:r>
            <w:r>
              <w:rPr>
                <w:rFonts w:hint="eastAsia" w:asciiTheme="minorEastAsia" w:hAnsiTheme="minorEastAsia" w:eastAsiaTheme="minorEastAsia" w:cstheme="minorEastAsia"/>
                <w:b w:val="0"/>
                <w:bCs/>
                <w:sz w:val="21"/>
                <w:szCs w:val="21"/>
                <w:lang w:eastAsia="zh-CN"/>
              </w:rPr>
              <w:t>JGJ 120-2012、既有建筑地基基础加固技术规范</w:t>
            </w:r>
            <w:r>
              <w:rPr>
                <w:rFonts w:hint="eastAsia" w:asciiTheme="minorEastAsia" w:hAnsiTheme="minorEastAsia" w:eastAsiaTheme="minorEastAsia" w:cstheme="minorEastAsia"/>
                <w:b w:val="0"/>
                <w:bCs/>
                <w:sz w:val="21"/>
                <w:szCs w:val="21"/>
                <w:lang w:val="en-US" w:eastAsia="zh-CN"/>
              </w:rPr>
              <w:t xml:space="preserve"> </w:t>
            </w:r>
            <w:r>
              <w:rPr>
                <w:rFonts w:hint="eastAsia" w:asciiTheme="minorEastAsia" w:hAnsiTheme="minorEastAsia" w:eastAsiaTheme="minorEastAsia" w:cstheme="minorEastAsia"/>
                <w:b w:val="0"/>
                <w:bCs/>
                <w:sz w:val="21"/>
                <w:szCs w:val="21"/>
                <w:lang w:eastAsia="zh-CN"/>
              </w:rPr>
              <w:t>JGJ 123-20</w:t>
            </w:r>
            <w:r>
              <w:rPr>
                <w:rFonts w:hint="eastAsia" w:asciiTheme="minorEastAsia" w:hAnsiTheme="minorEastAsia" w:eastAsiaTheme="minorEastAsia" w:cstheme="minorEastAsia"/>
                <w:b w:val="0"/>
                <w:bCs/>
                <w:sz w:val="21"/>
                <w:szCs w:val="21"/>
                <w:lang w:val="en-US" w:eastAsia="zh-CN"/>
              </w:rPr>
              <w:t>12、</w:t>
            </w:r>
            <w:r>
              <w:rPr>
                <w:rFonts w:hint="eastAsia" w:asciiTheme="minorEastAsia" w:hAnsiTheme="minorEastAsia" w:eastAsiaTheme="minorEastAsia" w:cstheme="minorEastAsia"/>
                <w:b w:val="0"/>
                <w:bCs/>
                <w:sz w:val="21"/>
                <w:szCs w:val="21"/>
                <w:lang w:eastAsia="zh-CN"/>
              </w:rPr>
              <w:t>建筑地面工程施工质量验收规范</w:t>
            </w:r>
            <w:r>
              <w:rPr>
                <w:rFonts w:hint="eastAsia" w:asciiTheme="minorEastAsia" w:hAnsiTheme="minorEastAsia" w:eastAsiaTheme="minorEastAsia" w:cstheme="minorEastAsia"/>
                <w:b w:val="0"/>
                <w:bCs/>
                <w:sz w:val="21"/>
                <w:szCs w:val="21"/>
                <w:lang w:val="en-US" w:eastAsia="zh-CN"/>
              </w:rPr>
              <w:t xml:space="preserve"> </w:t>
            </w:r>
            <w:r>
              <w:rPr>
                <w:rFonts w:hint="eastAsia" w:asciiTheme="minorEastAsia" w:hAnsiTheme="minorEastAsia" w:eastAsiaTheme="minorEastAsia" w:cstheme="minorEastAsia"/>
                <w:b w:val="0"/>
                <w:bCs/>
                <w:sz w:val="21"/>
                <w:szCs w:val="21"/>
                <w:lang w:eastAsia="zh-CN"/>
              </w:rPr>
              <w:t>GB 50209-20</w:t>
            </w:r>
            <w:r>
              <w:rPr>
                <w:rFonts w:hint="eastAsia" w:asciiTheme="minorEastAsia" w:hAnsiTheme="minorEastAsia" w:eastAsiaTheme="minorEastAsia" w:cstheme="minorEastAsia"/>
                <w:b w:val="0"/>
                <w:bCs/>
                <w:sz w:val="21"/>
                <w:szCs w:val="21"/>
                <w:lang w:val="en-US" w:eastAsia="zh-CN"/>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72" w:hRule="atLeast"/>
          <w:jc w:val="center"/>
        </w:trPr>
        <w:tc>
          <w:tcPr>
            <w:tcW w:w="2249" w:type="dxa"/>
            <w:gridSpan w:val="2"/>
            <w:tcBorders>
              <w:left w:val="single" w:color="auto" w:sz="4" w:space="0"/>
            </w:tcBorders>
            <w:vAlign w:val="center"/>
          </w:tcPr>
          <w:p>
            <w:pPr>
              <w:snapToGrid w:val="0"/>
              <w:spacing w:line="280" w:lineRule="exact"/>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检验和试验项目及要求(如有型式试验要求,要进行说明)</w:t>
            </w:r>
          </w:p>
        </w:tc>
        <w:tc>
          <w:tcPr>
            <w:tcW w:w="8424" w:type="dxa"/>
            <w:gridSpan w:val="3"/>
            <w:vAlign w:val="center"/>
          </w:tcPr>
          <w:p>
            <w:pPr>
              <w:snapToGrid w:val="0"/>
              <w:spacing w:line="280" w:lineRule="exact"/>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检验和试验：建筑材料－水泥、钢筋、砂、石检查合格证、相容性试验报告和外观质量并在监理见证下取样复试。</w:t>
            </w:r>
          </w:p>
          <w:p>
            <w:pPr>
              <w:snapToGrid w:val="0"/>
              <w:spacing w:line="280" w:lineRule="exact"/>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砂浆、混凝土留取试块同条件/标养作试验。</w:t>
            </w:r>
          </w:p>
          <w:p>
            <w:pPr>
              <w:snapToGrid w:val="0"/>
              <w:spacing w:line="280" w:lineRule="exact"/>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受力钢筋搭接焊接焊接接头试验;对噪声、污水和粉尘进行控制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71" w:hRule="atLeast"/>
          <w:jc w:val="center"/>
        </w:trPr>
        <w:tc>
          <w:tcPr>
            <w:tcW w:w="2249" w:type="dxa"/>
            <w:gridSpan w:val="2"/>
            <w:tcBorders>
              <w:left w:val="single" w:color="auto" w:sz="4" w:space="0"/>
              <w:bottom w:val="single" w:color="auto" w:sz="8" w:space="0"/>
            </w:tcBorders>
            <w:vAlign w:val="center"/>
          </w:tcPr>
          <w:p>
            <w:pPr>
              <w:snapToGrid w:val="0"/>
              <w:spacing w:line="280" w:lineRule="exact"/>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其它相关知识</w:t>
            </w:r>
          </w:p>
        </w:tc>
        <w:tc>
          <w:tcPr>
            <w:tcW w:w="8424" w:type="dxa"/>
            <w:gridSpan w:val="3"/>
            <w:tcBorders>
              <w:bottom w:val="single" w:color="auto" w:sz="8" w:space="0"/>
            </w:tcBorders>
            <w:vAlign w:val="center"/>
          </w:tcPr>
          <w:p>
            <w:pPr>
              <w:snapToGrid w:val="0"/>
              <w:spacing w:line="280" w:lineRule="exact"/>
              <w:jc w:val="center"/>
              <w:rPr>
                <w:rFonts w:hint="default"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现场审核注意事项</w:t>
            </w:r>
          </w:p>
        </w:tc>
      </w:tr>
    </w:tbl>
    <w:p>
      <w:pPr>
        <w:snapToGrid w:val="0"/>
        <w:rPr>
          <w:rFonts w:hint="default" w:ascii="宋体" w:eastAsia="宋体"/>
          <w:b/>
          <w:sz w:val="22"/>
          <w:szCs w:val="22"/>
          <w:lang w:val="en-US" w:eastAsia="zh-CN"/>
        </w:rPr>
      </w:pPr>
      <w:r>
        <w:rPr>
          <w:rFonts w:hint="eastAsia" w:ascii="宋体"/>
          <w:b/>
          <w:sz w:val="22"/>
          <w:szCs w:val="22"/>
        </w:rPr>
        <w:t>填表人</w:t>
      </w:r>
      <w:r>
        <w:rPr>
          <w:rFonts w:ascii="宋体"/>
          <w:b/>
          <w:sz w:val="22"/>
          <w:szCs w:val="22"/>
        </w:rPr>
        <w:t>(</w:t>
      </w:r>
      <w:r>
        <w:rPr>
          <w:rFonts w:hint="eastAsia" w:ascii="宋体"/>
          <w:b/>
          <w:sz w:val="22"/>
          <w:szCs w:val="22"/>
        </w:rPr>
        <w:t>专业人员</w:t>
      </w:r>
      <w:r>
        <w:rPr>
          <w:rFonts w:ascii="宋体"/>
          <w:b/>
          <w:sz w:val="22"/>
          <w:szCs w:val="22"/>
        </w:rPr>
        <w:t>)</w:t>
      </w:r>
      <w:r>
        <w:rPr>
          <w:rFonts w:hint="eastAsia" w:ascii="宋体"/>
          <w:b/>
          <w:sz w:val="18"/>
          <w:szCs w:val="18"/>
        </w:rPr>
        <w:t>：</w:t>
      </w:r>
      <w:r>
        <w:rPr>
          <w:sz w:val="20"/>
        </w:rPr>
        <w:t>徐秋平</w:t>
      </w:r>
      <w:r>
        <w:rPr>
          <w:rFonts w:ascii="宋体"/>
          <w:b/>
          <w:sz w:val="18"/>
          <w:szCs w:val="18"/>
        </w:rPr>
        <w:t xml:space="preserve">           </w:t>
      </w:r>
      <w:r>
        <w:rPr>
          <w:rFonts w:ascii="宋体"/>
          <w:b/>
          <w:sz w:val="22"/>
          <w:szCs w:val="22"/>
        </w:rPr>
        <w:t xml:space="preserve">  </w:t>
      </w:r>
      <w:r>
        <w:rPr>
          <w:rFonts w:hint="eastAsia" w:ascii="宋体"/>
          <w:b/>
          <w:sz w:val="22"/>
          <w:szCs w:val="22"/>
        </w:rPr>
        <w:t>审核组长</w:t>
      </w:r>
      <w:r>
        <w:rPr>
          <w:rFonts w:hint="eastAsia" w:ascii="宋体"/>
          <w:b/>
          <w:sz w:val="18"/>
          <w:szCs w:val="18"/>
        </w:rPr>
        <w:t>：</w:t>
      </w:r>
      <w:r>
        <w:rPr>
          <w:rFonts w:hint="eastAsia" w:asciiTheme="minorEastAsia" w:hAnsiTheme="minorEastAsia" w:eastAsiaTheme="minorEastAsia" w:cstheme="minorEastAsia"/>
          <w:b w:val="0"/>
          <w:bCs/>
          <w:sz w:val="21"/>
          <w:szCs w:val="21"/>
        </w:rPr>
        <w:t>王志慧</w:t>
      </w:r>
      <w:r>
        <w:rPr>
          <w:rFonts w:ascii="宋体"/>
          <w:b/>
          <w:sz w:val="18"/>
          <w:szCs w:val="18"/>
        </w:rPr>
        <w:t xml:space="preserve">                </w:t>
      </w:r>
      <w:r>
        <w:rPr>
          <w:rFonts w:hint="eastAsia"/>
          <w:b/>
          <w:sz w:val="22"/>
          <w:szCs w:val="22"/>
        </w:rPr>
        <w:t>日期</w:t>
      </w:r>
      <w:r>
        <w:rPr>
          <w:rFonts w:hint="eastAsia"/>
          <w:b/>
          <w:sz w:val="18"/>
          <w:szCs w:val="18"/>
        </w:rPr>
        <w:t>：</w:t>
      </w:r>
      <w:r>
        <w:rPr>
          <w:rFonts w:hint="eastAsia"/>
          <w:b/>
          <w:sz w:val="18"/>
          <w:szCs w:val="18"/>
          <w:lang w:val="en-US" w:eastAsia="zh-CN"/>
        </w:rPr>
        <w:t>2020年10月25日</w:t>
      </w:r>
    </w:p>
    <w:p>
      <w:pPr>
        <w:snapToGrid w:val="0"/>
        <w:rPr>
          <w:rFonts w:ascii="宋体"/>
          <w:b/>
          <w:spacing w:val="-6"/>
          <w:sz w:val="18"/>
          <w:szCs w:val="18"/>
        </w:rPr>
      </w:pPr>
    </w:p>
    <w:p>
      <w:pPr>
        <w:snapToGrid w:val="0"/>
        <w:rPr>
          <w:rFonts w:ascii="宋体"/>
          <w:b/>
          <w:spacing w:val="-6"/>
          <w:sz w:val="20"/>
        </w:rPr>
      </w:pPr>
      <w:r>
        <w:rPr>
          <w:rFonts w:hint="eastAsia" w:ascii="宋体"/>
          <w:b/>
          <w:spacing w:val="-6"/>
          <w:sz w:val="18"/>
          <w:szCs w:val="18"/>
        </w:rPr>
        <w:t>注：</w:t>
      </w:r>
      <w:r>
        <w:rPr>
          <w:rFonts w:hint="eastAsia" w:ascii="宋体"/>
          <w:b/>
          <w:spacing w:val="-6"/>
          <w:sz w:val="21"/>
          <w:szCs w:val="21"/>
        </w:rPr>
        <w:t>如有其他培训内容或空格不够可另加附页</w:t>
      </w:r>
      <w:bookmarkStart w:id="5" w:name="_GoBack"/>
      <w:bookmarkEnd w:id="5"/>
    </w:p>
    <w:sectPr>
      <w:headerReference r:id="rId3" w:type="default"/>
      <w:pgSz w:w="11906" w:h="16838"/>
      <w:pgMar w:top="1134" w:right="1077" w:bottom="1134" w:left="1077" w:header="561" w:footer="482"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Lucida Sans">
    <w:panose1 w:val="020B0602030504020204"/>
    <w:charset w:val="00"/>
    <w:family w:val="swiss"/>
    <w:pitch w:val="default"/>
    <w:sig w:usb0="00000003" w:usb1="00000000" w:usb2="00000000" w:usb3="00000000" w:csb0="2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jc w:val="left"/>
    </w:pPr>
    <w:r>
      <w:pict>
        <v:shape id="文本框 1" o:spid="_x0000_s4098" o:spt="202" type="#_x0000_t202" style="position:absolute;left:0pt;margin-left:325.25pt;margin-top:2.2pt;height:20.2pt;width:159.25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6</w:t>
                </w:r>
                <w:r>
                  <w:rPr>
                    <w:rFonts w:hint="eastAsia"/>
                    <w:sz w:val="18"/>
                    <w:szCs w:val="18"/>
                  </w:rPr>
                  <w:t xml:space="preserve"> 专业培训记录(03版)</w:t>
                </w:r>
              </w:p>
            </w:txbxContent>
          </v:textbox>
        </v:shape>
      </w:pict>
    </w:r>
    <w:r>
      <w:rPr>
        <w:rStyle w:val="11"/>
        <w:rFonts w:hint="default"/>
      </w:rPr>
      <w:t xml:space="preserve">        </w:t>
    </w:r>
    <w:r>
      <w:rPr>
        <w:rStyle w:val="11"/>
        <w:rFonts w:hint="default"/>
        <w:w w:val="90"/>
      </w:rPr>
      <w:t>Beijing International Standard united Certification Co.,Ltd.</w:t>
    </w:r>
    <w:r>
      <w:rPr>
        <w:rStyle w:val="11"/>
        <w:rFonts w:hint="default"/>
        <w:w w:val="90"/>
        <w:szCs w:val="21"/>
      </w:rPr>
      <w:t xml:space="preserve">  </w:t>
    </w:r>
    <w:r>
      <w:rPr>
        <w:rStyle w:val="11"/>
        <w:rFonts w:hint="default"/>
        <w:w w:val="90"/>
        <w:sz w:val="20"/>
      </w:rPr>
      <w:t xml:space="preserve"> </w:t>
    </w:r>
    <w:r>
      <w:rPr>
        <w:rStyle w:val="11"/>
        <w:rFonts w:hint="default"/>
        <w:w w:val="90"/>
      </w:rPr>
      <w:t xml:space="preserve">                   </w:t>
    </w:r>
  </w:p>
  <w:p>
    <w:pPr>
      <w:pStyle w:val="5"/>
    </w:pPr>
  </w:p>
  <w:p>
    <w:pPr>
      <w:tabs>
        <w:tab w:val="left" w:pos="9245"/>
      </w:tabs>
      <w:wordWrap w:val="0"/>
      <w:ind w:right="64" w:firstLine="4600" w:firstLineChars="2300"/>
      <w:jc w:val="righ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B7A56B8"/>
    <w:rsid w:val="174700F6"/>
    <w:rsid w:val="19914260"/>
    <w:rsid w:val="19DC667D"/>
    <w:rsid w:val="25285E76"/>
    <w:rsid w:val="2E216778"/>
    <w:rsid w:val="357E571C"/>
    <w:rsid w:val="38116F63"/>
    <w:rsid w:val="4D600ADD"/>
    <w:rsid w:val="4F7764AA"/>
    <w:rsid w:val="58BA12F7"/>
    <w:rsid w:val="5E2635E3"/>
    <w:rsid w:val="5FF727D4"/>
    <w:rsid w:val="672D112B"/>
    <w:rsid w:val="68A14C3C"/>
    <w:rsid w:val="6A8E5837"/>
    <w:rsid w:val="794D14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Lucida Sans" w:hAnsi="Lucida Sans"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Balloon Text"/>
    <w:basedOn w:val="1"/>
    <w:link w:val="10"/>
    <w:semiHidden/>
    <w:unhideWhenUsed/>
    <w:qFormat/>
    <w:uiPriority w:val="99"/>
    <w:rPr>
      <w:sz w:val="18"/>
      <w:szCs w:val="18"/>
    </w:rPr>
  </w:style>
  <w:style w:type="paragraph" w:styleId="4">
    <w:name w:val="footer"/>
    <w:basedOn w:val="1"/>
    <w:link w:val="8"/>
    <w:uiPriority w:val="99"/>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脚 字符"/>
    <w:link w:val="4"/>
    <w:qFormat/>
    <w:locked/>
    <w:uiPriority w:val="99"/>
    <w:rPr>
      <w:rFonts w:ascii="Times New Roman" w:hAnsi="Times New Roman" w:eastAsia="宋体" w:cs="Times New Roman"/>
      <w:sz w:val="18"/>
      <w:szCs w:val="18"/>
    </w:rPr>
  </w:style>
  <w:style w:type="character" w:customStyle="1" w:styleId="9">
    <w:name w:val="页眉 字符"/>
    <w:link w:val="5"/>
    <w:qFormat/>
    <w:locked/>
    <w:uiPriority w:val="99"/>
    <w:rPr>
      <w:rFonts w:ascii="Times New Roman" w:hAnsi="Times New Roman" w:eastAsia="宋体" w:cs="Times New Roman"/>
      <w:sz w:val="18"/>
      <w:szCs w:val="18"/>
    </w:rPr>
  </w:style>
  <w:style w:type="character" w:customStyle="1" w:styleId="10">
    <w:name w:val="批注框文本 字符"/>
    <w:link w:val="3"/>
    <w:semiHidden/>
    <w:qFormat/>
    <w:uiPriority w:val="99"/>
    <w:rPr>
      <w:rFonts w:ascii="Times New Roman" w:hAnsi="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46</Words>
  <Characters>267</Characters>
  <Lines>2</Lines>
  <Paragraphs>1</Paragraphs>
  <TotalTime>6</TotalTime>
  <ScaleCrop>false</ScaleCrop>
  <LinksUpToDate>false</LinksUpToDate>
  <CharactersWithSpaces>312</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2015-06-17T11:40:00Z</dcterms:created>
  <dc:creator>微软用户</dc:creator>
  <cp:lastModifiedBy>伍光华</cp:lastModifiedBy>
  <dcterms:modified xsi:type="dcterms:W3CDTF">2020-10-26T03:06:28Z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