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30133-2025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2025年12月10日上午至2025年12月10日下午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12098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