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r>
        <w:rPr>
          <w:rFonts w:ascii="Times New Roman" w:hAnsi="Times New Roman" w:cs="Times New Roman"/>
          <w:u w:val="single"/>
        </w:rPr>
        <w:t>0</w:t>
      </w:r>
      <w:r>
        <w:rPr>
          <w:rFonts w:hint="eastAsia" w:ascii="Times New Roman" w:hAnsi="Times New Roman" w:cs="Times New Roman"/>
          <w:u w:val="single"/>
          <w:lang w:val="en-US" w:eastAsia="zh-CN"/>
        </w:rPr>
        <w:t>201</w:t>
      </w:r>
      <w:r>
        <w:rPr>
          <w:rFonts w:ascii="Times New Roman" w:hAnsi="Times New Roman" w:cs="Times New Roman"/>
          <w:u w:val="single"/>
        </w:rPr>
        <w:t>-20</w:t>
      </w:r>
      <w:r>
        <w:rPr>
          <w:rFonts w:hint="eastAsia" w:ascii="Times New Roman" w:hAnsi="Times New Roman" w:cs="Times New Roman"/>
          <w:u w:val="single"/>
        </w:rPr>
        <w:t>20</w:t>
      </w:r>
    </w:p>
    <w:p>
      <w:pPr>
        <w:spacing w:before="240"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425"/>
        <w:gridCol w:w="1134"/>
        <w:gridCol w:w="1276"/>
        <w:gridCol w:w="103"/>
        <w:gridCol w:w="1314"/>
        <w:gridCol w:w="993"/>
        <w:gridCol w:w="992"/>
        <w:gridCol w:w="1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金属波纹管膨胀节水压试验</w:t>
            </w:r>
          </w:p>
        </w:tc>
        <w:tc>
          <w:tcPr>
            <w:tcW w:w="2307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3.75</w:t>
            </w:r>
            <w:r>
              <w:rPr>
                <w:rFonts w:hint="eastAsia"/>
              </w:rPr>
              <w:t>±0.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）MPa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5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JSCG</w:t>
            </w:r>
            <w:r>
              <w:rPr>
                <w:rFonts w:hint="eastAsia"/>
              </w:rPr>
              <w:t>/-01金属波纹管膨胀节水压试验</w:t>
            </w:r>
            <w:r>
              <w:rPr>
                <w:rFonts w:hint="eastAsia" w:ascii="Times New Roman" w:hAnsi="Times New Roman" w:cs="Times New Roman"/>
              </w:rPr>
              <w:t>测量过程控制规范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量程的确定：水压密封试验压力</w:t>
            </w:r>
            <w:r>
              <w:rPr>
                <w:rFonts w:hint="eastAsia"/>
                <w:lang w:val="en-US" w:eastAsia="zh-CN"/>
              </w:rPr>
              <w:t>3.75</w:t>
            </w:r>
            <w:r>
              <w:rPr>
                <w:rFonts w:hint="eastAsia"/>
              </w:rPr>
              <w:t>MPa，但为了试验过程的各种规格压力使用范围应为压力表量程20%～80%的要求，选用量程为0～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MPa压力表可以满足要求。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最大允许误差的确定：水压密封试验的压力表＜±10%，JJG52-2013标准规定。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测量设备的允差：准确精度等级1.6级,测量设备的最大允差为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MPa×(±1.6%)=±0.</w:t>
            </w:r>
            <w:r>
              <w:rPr>
                <w:rFonts w:hint="eastAsia"/>
                <w:lang w:val="en-US" w:eastAsia="zh-CN"/>
              </w:rPr>
              <w:t>16</w:t>
            </w:r>
            <w:r>
              <w:rPr>
                <w:rFonts w:hint="eastAsia"/>
              </w:rPr>
              <w:t>MPa。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测量设备的检定:准确度等级1.6级，0～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MPa压力表于2020年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日检定。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26" w:type="dxa"/>
            <w:vMerge w:val="restar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设备特性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(示值误差等)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校准证书编号</w:t>
            </w:r>
          </w:p>
        </w:tc>
        <w:tc>
          <w:tcPr>
            <w:tcW w:w="1167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26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</w:rPr>
              <w:t>压力表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hint="eastAsia"/>
                <w:color w:val="FF0000"/>
              </w:rPr>
            </w:pPr>
            <w:r>
              <w:rPr>
                <w:rFonts w:hint="eastAsia"/>
                <w:lang w:val="en-US" w:eastAsia="zh-CN"/>
              </w:rPr>
              <w:t>Y-100</w:t>
            </w:r>
            <w:r>
              <w:rPr>
                <w:rFonts w:hint="eastAsia"/>
              </w:rPr>
              <w:t>(0-</w:t>
            </w:r>
            <w:r>
              <w:rPr>
                <w:rFonts w:hint="eastAsia"/>
                <w:lang w:val="en-US" w:eastAsia="zh-CN"/>
              </w:rPr>
              <w:t>10.0</w:t>
            </w:r>
            <w:r>
              <w:rPr>
                <w:rFonts w:hint="eastAsia"/>
              </w:rPr>
              <w:t>)Mpa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ind w:firstLine="210" w:firstLineChars="100"/>
              <w:rPr>
                <w:rFonts w:hint="eastAsia"/>
                <w:color w:val="FF0000"/>
              </w:rPr>
            </w:pPr>
            <w:r>
              <w:rPr>
                <w:rFonts w:hint="eastAsia"/>
              </w:rPr>
              <w:t>±1.6%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2020070021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2020.</w:t>
            </w:r>
            <w:r>
              <w:rPr>
                <w:rFonts w:hint="eastAsia"/>
                <w:lang w:val="en-US" w:eastAsia="zh-CN"/>
              </w:rPr>
              <w:t>9.7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26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59" w:type="dxa"/>
            <w:gridSpan w:val="2"/>
          </w:tcPr>
          <w:p>
            <w:pPr>
              <w:rPr>
                <w:rFonts w:hint="eastAsia"/>
                <w:color w:val="FF0000"/>
              </w:rPr>
            </w:pPr>
          </w:p>
        </w:tc>
        <w:tc>
          <w:tcPr>
            <w:tcW w:w="1276" w:type="dxa"/>
          </w:tcPr>
          <w:p>
            <w:pPr>
              <w:rPr>
                <w:rFonts w:hint="eastAsia"/>
                <w:color w:val="FF0000"/>
              </w:rPr>
            </w:pPr>
          </w:p>
        </w:tc>
        <w:tc>
          <w:tcPr>
            <w:tcW w:w="1417" w:type="dxa"/>
            <w:gridSpan w:val="2"/>
          </w:tcPr>
          <w:p>
            <w:pPr>
              <w:rPr>
                <w:rFonts w:hint="eastAsia"/>
                <w:color w:val="FF0000"/>
              </w:rPr>
            </w:pPr>
          </w:p>
        </w:tc>
        <w:tc>
          <w:tcPr>
            <w:tcW w:w="1985" w:type="dxa"/>
            <w:gridSpan w:val="2"/>
          </w:tcPr>
          <w:p>
            <w:pPr>
              <w:rPr>
                <w:rFonts w:hint="eastAsia"/>
                <w:color w:val="FF0000"/>
              </w:rPr>
            </w:pPr>
          </w:p>
        </w:tc>
        <w:tc>
          <w:tcPr>
            <w:tcW w:w="1167" w:type="dxa"/>
          </w:tcPr>
          <w:p>
            <w:pPr>
              <w:rPr>
                <w:rFonts w:hint="eastAsia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26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59" w:type="dxa"/>
            <w:gridSpan w:val="2"/>
          </w:tcPr>
          <w:p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>
            <w:pPr>
              <w:rPr>
                <w:rFonts w:hint="eastAsia"/>
              </w:rPr>
            </w:pPr>
          </w:p>
        </w:tc>
        <w:tc>
          <w:tcPr>
            <w:tcW w:w="1417" w:type="dxa"/>
            <w:gridSpan w:val="2"/>
          </w:tcPr>
          <w:p>
            <w:pPr>
              <w:rPr>
                <w:rFonts w:hint="eastAsia"/>
              </w:rPr>
            </w:pPr>
          </w:p>
        </w:tc>
        <w:tc>
          <w:tcPr>
            <w:tcW w:w="1985" w:type="dxa"/>
            <w:gridSpan w:val="2"/>
          </w:tcPr>
          <w:p>
            <w:pPr>
              <w:rPr>
                <w:rFonts w:hint="eastAsia"/>
              </w:rPr>
            </w:pPr>
          </w:p>
        </w:tc>
        <w:tc>
          <w:tcPr>
            <w:tcW w:w="1167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计量验证记录</w:t>
            </w:r>
          </w:p>
          <w:p>
            <w:pPr>
              <w:pStyle w:val="13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准确度等级1.6级，0～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MPa压力表符合JJG52-2013标准规定的水压试验所用的压力表的准确度等级＜±10%及压力为</w:t>
            </w:r>
            <w:r>
              <w:rPr>
                <w:rFonts w:hint="eastAsia"/>
                <w:lang w:val="en-US" w:eastAsia="zh-CN"/>
              </w:rPr>
              <w:t>3.75</w:t>
            </w:r>
            <w:r>
              <w:rPr>
                <w:rFonts w:hint="eastAsia"/>
              </w:rPr>
              <w:t>MPa的测量过程计量要求。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MS Gothic" w:hAnsi="MS Gothic" w:eastAsia="MS Gothic" w:cs="MS Gothic"/>
                <w:szCs w:val="21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验证人员签字：</w:t>
            </w:r>
            <w:r>
              <w:rPr>
                <w:rFonts w:hint="eastAsia"/>
                <w:lang w:val="en-US" w:eastAsia="zh-CN"/>
              </w:rPr>
              <w:t>孙伟</w:t>
            </w:r>
            <w:r>
              <w:rPr>
                <w:rFonts w:hint="eastAsia"/>
              </w:rPr>
              <w:t xml:space="preserve">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日期：2020 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9"/>
          </w:tcPr>
          <w:p>
            <w:pPr>
              <w:pStyle w:val="10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ind w:left="359" w:leftChars="171"/>
              <w:rPr>
                <w:rFonts w:hint="eastAsia"/>
              </w:rPr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pPr>
              <w:rPr>
                <w:rFonts w:hint="eastAsia"/>
              </w:rPr>
            </w:pPr>
            <w:bookmarkStart w:id="0" w:name="_GoBack"/>
            <w:bookmarkEnd w:id="0"/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审核员：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    年   月   日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rFonts w:hint="eastAsia"/>
            <w:lang w:val="zh-CN"/>
          </w:rPr>
          <w:t>1</w:t>
        </w:r>
        <w:r>
          <w:fldChar w:fldCharType="end"/>
        </w:r>
      </w:p>
    </w:sdtContent>
  </w:sdt>
  <w:p>
    <w:pPr>
      <w:pStyle w:val="3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  <w:rPr>
        <w:rFonts w:hint="eastAsia"/>
      </w:rPr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1026" o:spt="202" type="#_x0000_t202" style="position:absolute;left:0pt;margin-left:288.9pt;margin-top:2.15pt;height:34.05pt;width:144.75pt;z-index:251658240;mso-width-relative:page;mso-height-relative:page;" stroked="f" coordsize="21600,21600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+oz9&#10;z9cAAAAIAQAADwAAAAAAAAABACAAAAAiAAAAZHJzL2Rvd25yZXYueG1sUEsBAhQAFAAAAAgAh07i&#10;QHLGih+xAQAAQAMAAA4AAAAAAAAAAQAgAAAAJgEAAGRycy9lMm9Eb2MueG1sUEsFBgAAAAAGAAYA&#10;WQEAAEk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  <w:rPr>
        <w:rFonts w:hint="eastAsia"/>
      </w:rPr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rFonts w:hint="eastAsia"/>
      </w:rPr>
    </w:pPr>
    <w:r>
      <w:rPr>
        <w:rFonts w:hint="eastAsia"/>
      </w:rPr>
      <w:pict>
        <v:line id="_x0000_s1027" o:spid="_x0000_s1027" o:spt="20" style="position:absolute;left:0pt;margin-left:-0.45pt;margin-top:3pt;height:0pt;width:425.25pt;z-index:251658240;mso-width-relative:page;mso-height-relative:page;" coordsize="21600,21600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JEOAr0wAAAAUBAAAPAAAAAAAAAAEAIAAAACIAAABkcnMv&#10;ZG93bnJldi54bWxQSwECFAAUAAAACACHTuJA9BGI+c8BAABlAwAADgAAAAAAAAABACAAAAAiAQAA&#10;ZHJzL2Uyb0RvYy54bWxQSwUGAAAAAAYABgBZAQAAYwUAAAAA&#10;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6275C"/>
    <w:multiLevelType w:val="multilevel"/>
    <w:tmpl w:val="0FD6275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3964AE"/>
    <w:multiLevelType w:val="multilevel"/>
    <w:tmpl w:val="203964AE"/>
    <w:lvl w:ilvl="0" w:tentative="0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CED"/>
    <w:rsid w:val="00011C04"/>
    <w:rsid w:val="00050965"/>
    <w:rsid w:val="00133E54"/>
    <w:rsid w:val="001E4C67"/>
    <w:rsid w:val="002E637F"/>
    <w:rsid w:val="003021CA"/>
    <w:rsid w:val="0034250A"/>
    <w:rsid w:val="003C0BC5"/>
    <w:rsid w:val="003C1908"/>
    <w:rsid w:val="004831CF"/>
    <w:rsid w:val="004B5271"/>
    <w:rsid w:val="00502D4D"/>
    <w:rsid w:val="00554315"/>
    <w:rsid w:val="00556B9D"/>
    <w:rsid w:val="005D3952"/>
    <w:rsid w:val="00663751"/>
    <w:rsid w:val="006A6E9A"/>
    <w:rsid w:val="00723252"/>
    <w:rsid w:val="0078189A"/>
    <w:rsid w:val="00784DEA"/>
    <w:rsid w:val="007C0B19"/>
    <w:rsid w:val="007D5F22"/>
    <w:rsid w:val="0080377F"/>
    <w:rsid w:val="0080524A"/>
    <w:rsid w:val="008526DE"/>
    <w:rsid w:val="00863569"/>
    <w:rsid w:val="00875194"/>
    <w:rsid w:val="009B5D63"/>
    <w:rsid w:val="009C6468"/>
    <w:rsid w:val="009E059D"/>
    <w:rsid w:val="00A47053"/>
    <w:rsid w:val="00A91CDC"/>
    <w:rsid w:val="00AD21F7"/>
    <w:rsid w:val="00AF284A"/>
    <w:rsid w:val="00B13EA2"/>
    <w:rsid w:val="00B275D8"/>
    <w:rsid w:val="00B770D1"/>
    <w:rsid w:val="00D07B46"/>
    <w:rsid w:val="00D772D0"/>
    <w:rsid w:val="00D87CED"/>
    <w:rsid w:val="00DB3D48"/>
    <w:rsid w:val="00DE2C42"/>
    <w:rsid w:val="00E66BC1"/>
    <w:rsid w:val="00E76A36"/>
    <w:rsid w:val="00F32A8C"/>
    <w:rsid w:val="00F6099A"/>
    <w:rsid w:val="00FB458D"/>
    <w:rsid w:val="00FE70F4"/>
    <w:rsid w:val="058553EF"/>
    <w:rsid w:val="05C53CC8"/>
    <w:rsid w:val="06B6206D"/>
    <w:rsid w:val="0B4A31E3"/>
    <w:rsid w:val="0D7D3331"/>
    <w:rsid w:val="13F03DB7"/>
    <w:rsid w:val="19953B0B"/>
    <w:rsid w:val="200265F0"/>
    <w:rsid w:val="22335E64"/>
    <w:rsid w:val="223503F0"/>
    <w:rsid w:val="228E3EFC"/>
    <w:rsid w:val="2A0A6A49"/>
    <w:rsid w:val="2A196B4F"/>
    <w:rsid w:val="2A3E7E91"/>
    <w:rsid w:val="2DE2588B"/>
    <w:rsid w:val="2F286A34"/>
    <w:rsid w:val="34B279C1"/>
    <w:rsid w:val="36EF53FC"/>
    <w:rsid w:val="37CB68B4"/>
    <w:rsid w:val="3C9B18E8"/>
    <w:rsid w:val="49286765"/>
    <w:rsid w:val="4A8B3459"/>
    <w:rsid w:val="5681653A"/>
    <w:rsid w:val="5A6C68ED"/>
    <w:rsid w:val="613D6C31"/>
    <w:rsid w:val="6DDC56CD"/>
    <w:rsid w:val="6F8F3BB6"/>
    <w:rsid w:val="7753224A"/>
    <w:rsid w:val="7A0C087C"/>
    <w:rsid w:val="7EC855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列出段落2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120</Words>
  <Characters>686</Characters>
  <Lines>5</Lines>
  <Paragraphs>1</Paragraphs>
  <TotalTime>21</TotalTime>
  <ScaleCrop>false</ScaleCrop>
  <LinksUpToDate>false</LinksUpToDate>
  <CharactersWithSpaces>805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</cp:lastModifiedBy>
  <cp:lastPrinted>2017-02-16T05:50:00Z</cp:lastPrinted>
  <dcterms:modified xsi:type="dcterms:W3CDTF">2020-10-28T07:23:14Z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