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成都虹天门包装材料有限公司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张佳玲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不符合事实描述:查见《外来文件清单》中，《中华人民共和国合同法》《中华人民共和国消防法》等为过期版本，未及时更新，不符合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标准</w:t>
            </w:r>
            <w:r>
              <w:rPr>
                <w:rFonts w:hint="eastAsia" w:ascii="方正仿宋简体" w:eastAsia="方正仿宋简体"/>
                <w:b/>
              </w:rPr>
              <w:t>GB/T 19001:2016 idt ISO 9001:2015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7.5.3.2条款：为控制成文信息，适用时，组织应进行下列活动：c）变更控制（如版本控制）；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hAnsi="宋体"/>
                <w:b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3053080</wp:posOffset>
                  </wp:positionH>
                  <wp:positionV relativeFrom="paragraph">
                    <wp:posOffset>40640</wp:posOffset>
                  </wp:positionV>
                  <wp:extent cx="544830" cy="248920"/>
                  <wp:effectExtent l="0" t="0" r="3810" b="10160"/>
                  <wp:wrapNone/>
                  <wp:docPr id="2" name="图片 2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734060</wp:posOffset>
                  </wp:positionH>
                  <wp:positionV relativeFrom="paragraph">
                    <wp:posOffset>8255</wp:posOffset>
                  </wp:positionV>
                  <wp:extent cx="544830" cy="248920"/>
                  <wp:effectExtent l="0" t="0" r="3810" b="10160"/>
                  <wp:wrapNone/>
                  <wp:docPr id="8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2021.4.13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2021.4.13</w:t>
            </w:r>
            <w:bookmarkStart w:id="7" w:name="_GoBack"/>
            <w:bookmarkEnd w:id="7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engXian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45C40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yuer</cp:lastModifiedBy>
  <cp:lastPrinted>2019-05-13T03:02:00Z</cp:lastPrinted>
  <dcterms:modified xsi:type="dcterms:W3CDTF">2021-04-13T05:38:56Z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8C24CCACBFA247E293084FCC1B86B52C</vt:lpwstr>
  </property>
</Properties>
</file>