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梁龙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ISC-JSZJ-277</w:t>
            </w:r>
          </w:p>
          <w:p>
            <w:pPr>
              <w:jc w:val="center"/>
              <w:rPr>
                <w:b/>
                <w:sz w:val="21"/>
                <w:szCs w:val="21"/>
              </w:rPr>
            </w:pPr>
            <w:r>
              <w:rPr>
                <w:b/>
                <w:sz w:val="21"/>
                <w:szCs w:val="21"/>
              </w:rPr>
              <w:t>广东文华包装有限公司</w:t>
            </w:r>
          </w:p>
        </w:tc>
        <w:tc>
          <w:tcPr>
            <w:tcW w:w="1728" w:type="dxa"/>
            <w:gridSpan w:val="2"/>
            <w:vAlign w:val="center"/>
          </w:tcPr>
          <w:p>
            <w:pPr>
              <w:jc w:val="center"/>
              <w:rPr>
                <w:b/>
                <w:sz w:val="21"/>
                <w:szCs w:val="21"/>
              </w:rPr>
            </w:pPr>
            <w:r>
              <w:rPr>
                <w:b/>
                <w:sz w:val="21"/>
                <w:szCs w:val="21"/>
              </w:rPr>
              <w:t>04.04.05</w:t>
            </w:r>
          </w:p>
        </w:tc>
        <w:tc>
          <w:tcPr>
            <w:tcW w:w="1729" w:type="dxa"/>
            <w:gridSpan w:val="2"/>
            <w:vAlign w:val="center"/>
          </w:tcPr>
          <w:p>
            <w:pPr>
              <w:jc w:val="center"/>
              <w:rPr>
                <w:b/>
                <w:sz w:val="21"/>
                <w:szCs w:val="21"/>
              </w:rPr>
            </w:pPr>
            <w:r>
              <w:rPr>
                <w:b/>
                <w:sz w:val="21"/>
                <w:szCs w:val="21"/>
              </w:rPr>
              <w:t>ISC-JSZJ-277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ascii="宋体" w:hAnsi="宋体" w:eastAsia="宋体" w:cs="宋体"/>
          <w:b/>
          <w:sz w:val="21"/>
          <w:szCs w:val="21"/>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成都虹天门包装材料有限公司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成都市金牛区天回乡石门村7组</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成都市郫县区现代工业港港北二路551号附1号6号厂房</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成都市郫县区现代工业港港北二路551号附1号6号厂房</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张正</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15503232345</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谭青松</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eastAsia" w:ascii="宋体" w:eastAsia="宋体"/>
                <w:b/>
                <w:sz w:val="21"/>
                <w:lang w:val="en-US" w:eastAsia="zh-CN"/>
              </w:rPr>
            </w:pPr>
            <w:r>
              <w:rPr>
                <w:rFonts w:hint="eastAsia" w:ascii="宋体"/>
                <w:b/>
                <w:sz w:val="21"/>
                <w:lang w:val="en-US" w:eastAsia="zh-CN"/>
              </w:rPr>
              <w:t>宋子强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2021年04月13日 上午至2021年04月14日 上午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审核范围"/>
            <w:bookmarkStart w:id="24" w:name="QJ勾选Add1"/>
            <w:r>
              <w:rPr>
                <w:rFonts w:hint="eastAsia" w:ascii="宋体" w:hAnsi="宋体"/>
                <w:b/>
                <w:sz w:val="21"/>
                <w:szCs w:val="21"/>
              </w:rPr>
              <w:t>无纺布袋制造</w:t>
            </w:r>
            <w:bookmarkEnd w:id="23"/>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04.04.05</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2022-7-21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2019.7.22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ascii="宋体" w:hAnsi="宋体"/>
                <w:b/>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360" w:lineRule="auto"/>
              <w:ind w:firstLine="422" w:firstLineChars="200"/>
              <w:rPr>
                <w:rFonts w:ascii="Times New Roman" w:hAnsi="Times New Roman" w:eastAsia="宋体" w:cs="Times New Roman"/>
                <w:b/>
                <w:color w:val="000000" w:themeColor="text1"/>
                <w:kern w:val="2"/>
                <w:sz w:val="21"/>
                <w:szCs w:val="21"/>
                <w:lang w:val="en-US" w:eastAsia="zh-CN" w:bidi="ar-SA"/>
              </w:rPr>
            </w:pPr>
            <w:r>
              <w:rPr>
                <w:b/>
                <w:color w:val="000000" w:themeColor="text1"/>
                <w:sz w:val="21"/>
                <w:szCs w:val="21"/>
              </w:rPr>
              <w:t>3.</w:t>
            </w:r>
            <w:r>
              <w:rPr>
                <w:rFonts w:hint="eastAsia"/>
                <w:b/>
                <w:color w:val="000000" w:themeColor="text1"/>
                <w:sz w:val="21"/>
                <w:szCs w:val="21"/>
                <w:lang w:eastAsia="zh-CN"/>
              </w:rPr>
              <w:t>■</w:t>
            </w:r>
            <w:r>
              <w:rPr>
                <w:rFonts w:hint="eastAsia"/>
                <w:b/>
                <w:color w:val="000000" w:themeColor="text1"/>
                <w:sz w:val="21"/>
                <w:szCs w:val="21"/>
                <w:lang w:val="en-US" w:eastAsia="zh-CN"/>
              </w:rPr>
              <w:t xml:space="preserve"> </w:t>
            </w:r>
            <w:r>
              <w:rPr>
                <w:rFonts w:hint="eastAsia" w:ascii="宋体" w:hAnsi="宋体"/>
                <w:b/>
                <w:color w:val="000000" w:themeColor="text1"/>
                <w:sz w:val="21"/>
                <w:szCs w:val="21"/>
              </w:rPr>
              <w:t>质量/</w:t>
            </w:r>
            <w:r>
              <w:rPr>
                <w:rFonts w:hint="eastAsia" w:ascii="宋体" w:hAnsi="宋体"/>
                <w:sz w:val="21"/>
                <w:szCs w:val="21"/>
              </w:rPr>
              <w:t xml:space="preserve">□ </w:t>
            </w:r>
            <w:r>
              <w:rPr>
                <w:rFonts w:hint="eastAsia" w:ascii="宋体" w:hAnsi="宋体"/>
                <w:b/>
                <w:color w:val="000000" w:themeColor="text1"/>
                <w:sz w:val="21"/>
                <w:szCs w:val="21"/>
              </w:rPr>
              <w:t>环境/</w:t>
            </w:r>
            <w:r>
              <w:rPr>
                <w:rFonts w:hint="eastAsia" w:ascii="宋体" w:hAnsi="宋体"/>
                <w:sz w:val="21"/>
                <w:szCs w:val="21"/>
              </w:rPr>
              <w:t xml:space="preserve">□ </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质量为本，信誉至上</w:t>
            </w:r>
            <w:r>
              <w:rPr>
                <w:rFonts w:hint="eastAsia"/>
                <w:b/>
                <w:sz w:val="21"/>
                <w:szCs w:val="21"/>
              </w:rPr>
              <w:t>;</w:t>
            </w:r>
            <w:r>
              <w:rPr>
                <w:rFonts w:hint="eastAsia" w:asciiTheme="minorEastAsia" w:hAnsiTheme="minorEastAsia" w:eastAsiaTheme="minorEastAsia"/>
                <w:sz w:val="21"/>
                <w:szCs w:val="21"/>
              </w:rPr>
              <w:t xml:space="preserve"> 持续改进，争创一流</w:t>
            </w:r>
            <w:r>
              <w:rPr>
                <w:rFonts w:hint="eastAsia" w:ascii="宋体" w:hAnsi="宋体" w:cs="宋体"/>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spacing w:line="0" w:lineRule="atLeast"/>
              <w:jc w:val="left"/>
              <w:rPr>
                <w:rFonts w:ascii="宋体" w:hAnsi="宋体"/>
                <w:sz w:val="21"/>
                <w:szCs w:val="21"/>
              </w:rPr>
            </w:pPr>
            <w:r>
              <w:rPr>
                <w:rFonts w:hint="eastAsia" w:ascii="宋体" w:hAnsi="宋体"/>
                <w:b/>
                <w:color w:val="000000" w:themeColor="text1"/>
                <w:sz w:val="21"/>
                <w:szCs w:val="21"/>
              </w:rPr>
              <w:t>质量管理体系过程有：</w:t>
            </w:r>
            <w:r>
              <w:rPr>
                <w:rFonts w:hint="eastAsia" w:ascii="宋体" w:hAnsi="宋体"/>
                <w:color w:val="000000"/>
                <w:sz w:val="21"/>
                <w:szCs w:val="21"/>
              </w:rPr>
              <w:t>无纺布袋制造</w:t>
            </w:r>
          </w:p>
          <w:p>
            <w:pPr>
              <w:tabs>
                <w:tab w:val="left" w:pos="540"/>
              </w:tabs>
              <w:spacing w:line="300" w:lineRule="exact"/>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sz w:val="21"/>
                <w:szCs w:val="21"/>
              </w:rPr>
              <w:t>印刷、淋膜</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 xml:space="preserve">需要确认过程：  </w:t>
            </w:r>
          </w:p>
          <w:p>
            <w:pPr>
              <w:tabs>
                <w:tab w:val="left" w:pos="540"/>
              </w:tabs>
              <w:spacing w:line="300" w:lineRule="exact"/>
              <w:ind w:left="211" w:leftChars="0" w:hanging="211" w:hangingChars="100"/>
              <w:rPr>
                <w:rFonts w:ascii="宋体" w:hAnsi="宋体"/>
                <w:b/>
                <w:sz w:val="21"/>
                <w:szCs w:val="21"/>
              </w:rPr>
            </w:pPr>
            <w:r>
              <w:rPr>
                <w:b/>
                <w:color w:val="000000" w:themeColor="text1"/>
                <w:sz w:val="21"/>
                <w:szCs w:val="21"/>
              </w:rPr>
              <w:pict>
                <v:shape id="_x0000_s2053" o:spid="_x0000_s2053"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4" o:spid="_x0000_s2054"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不适用条款是 Q8.3       ，不适用理由：</w:t>
            </w:r>
            <w:r>
              <w:rPr>
                <w:rFonts w:hint="eastAsia" w:ascii="宋体" w:hAnsi="宋体"/>
                <w:color w:val="000000" w:themeColor="text1"/>
                <w:sz w:val="21"/>
                <w:szCs w:val="21"/>
              </w:rPr>
              <w:t xml:space="preserve">公司产品均按国家、行业相关标准以及客户要求进行生产,故标准8.3设计和开发不适用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3"/>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3"/>
              <w:numPr>
                <w:ilvl w:val="0"/>
                <w:numId w:val="1"/>
              </w:numPr>
              <w:tabs>
                <w:tab w:val="left" w:pos="540"/>
              </w:tabs>
              <w:spacing w:line="300" w:lineRule="exact"/>
              <w:ind w:firstLineChars="0"/>
              <w:rPr>
                <w:rFonts w:ascii="Times New Roman"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 w:val="21"/>
                <w:szCs w:val="21"/>
              </w:rPr>
            </w:pPr>
            <w:r>
              <w:rPr>
                <w:rFonts w:hint="eastAsia"/>
                <w:color w:val="000000"/>
                <w:sz w:val="21"/>
                <w:szCs w:val="21"/>
              </w:rPr>
              <w:t>质量目标：</w:t>
            </w:r>
          </w:p>
          <w:p>
            <w:pPr>
              <w:ind w:firstLine="420" w:firstLineChars="200"/>
              <w:rPr>
                <w:rFonts w:asciiTheme="minorHAnsi" w:hAnsiTheme="minorHAnsi" w:eastAsiaTheme="minorHAnsi"/>
                <w:sz w:val="21"/>
                <w:szCs w:val="21"/>
              </w:rPr>
            </w:pPr>
            <w:r>
              <w:rPr>
                <w:rFonts w:hint="eastAsia" w:asciiTheme="minorHAnsi" w:hAnsiTheme="minorHAnsi" w:eastAsiaTheme="minorEastAsia"/>
                <w:sz w:val="21"/>
                <w:szCs w:val="21"/>
              </w:rPr>
              <w:t>1、</w:t>
            </w:r>
            <w:r>
              <w:rPr>
                <w:rFonts w:hint="eastAsia" w:asciiTheme="minorHAnsi" w:hAnsiTheme="minorHAnsi" w:eastAsiaTheme="minorHAnsi"/>
                <w:sz w:val="21"/>
                <w:szCs w:val="21"/>
              </w:rPr>
              <w:t>产品交付合格率100%；</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2、合同按时交付率100</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p>
          <w:p>
            <w:pPr>
              <w:spacing w:line="300" w:lineRule="exact"/>
              <w:ind w:firstLine="420" w:firstLineChars="200"/>
              <w:rPr>
                <w:rFonts w:ascii="宋体" w:hAnsi="宋体" w:eastAsia="宋体" w:cs="Times New Roman"/>
                <w:b/>
                <w:color w:val="000000" w:themeColor="text1"/>
                <w:kern w:val="2"/>
                <w:sz w:val="21"/>
                <w:szCs w:val="21"/>
                <w:lang w:val="en-US" w:eastAsia="zh-CN" w:bidi="ar-SA"/>
              </w:rPr>
            </w:pPr>
            <w:r>
              <w:rPr>
                <w:rFonts w:hint="eastAsia" w:asciiTheme="minorEastAsia" w:hAnsiTheme="minorEastAsia" w:eastAsiaTheme="minorEastAsia"/>
                <w:sz w:val="21"/>
                <w:szCs w:val="21"/>
              </w:rPr>
              <w:t>3、顾客满意度</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ind w:firstLine="420" w:firstLineChars="200"/>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质量管理</w:t>
            </w:r>
            <w:r>
              <w:rPr>
                <w:rFonts w:hint="eastAsia" w:ascii="宋体" w:hAnsi="宋体" w:cs="宋体"/>
                <w:color w:val="000000" w:themeColor="text1"/>
                <w:sz w:val="21"/>
                <w:szCs w:val="21"/>
              </w:rPr>
              <w:t>体系文件，体系文件对管理体系各过程进行了识别确定、明确了各要素间的相互关系及其管控要求。公司体系文件于</w:t>
            </w:r>
            <w:r>
              <w:rPr>
                <w:rFonts w:hint="eastAsia" w:ascii="宋体" w:hAnsi="宋体" w:cs="Arial"/>
                <w:color w:val="000000" w:themeColor="text1"/>
                <w:sz w:val="21"/>
                <w:szCs w:val="21"/>
              </w:rPr>
              <w:t>201</w:t>
            </w:r>
            <w:r>
              <w:rPr>
                <w:rFonts w:hint="eastAsia" w:ascii="宋体" w:hAnsi="宋体" w:cs="Arial"/>
                <w:color w:val="000000" w:themeColor="text1"/>
                <w:sz w:val="21"/>
                <w:szCs w:val="21"/>
                <w:lang w:val="en-US" w:eastAsia="zh-CN"/>
              </w:rPr>
              <w:t>9</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产品的生产</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400" w:lineRule="exact"/>
              <w:rPr>
                <w:rFonts w:ascii="宋体" w:hAnsi="宋体" w:eastAsia="宋体" w:cs="Times New Roman"/>
                <w:b/>
                <w:color w:val="FF0000"/>
                <w:kern w:val="2"/>
                <w:sz w:val="21"/>
                <w:szCs w:val="21"/>
                <w:lang w:val="en-US" w:eastAsia="zh-CN" w:bidi="ar-SA"/>
              </w:rPr>
            </w:pPr>
            <w:r>
              <w:rPr>
                <w:rFonts w:hint="eastAsia" w:ascii="宋体" w:hAnsi="宋体"/>
                <w:bCs/>
                <w:iCs/>
                <w:sz w:val="21"/>
                <w:szCs w:val="21"/>
              </w:rPr>
              <w:t>厂房面积</w:t>
            </w:r>
            <w:r>
              <w:rPr>
                <w:rFonts w:hint="eastAsia" w:ascii="宋体" w:hAnsi="宋体"/>
                <w:bCs/>
                <w:iCs/>
                <w:sz w:val="21"/>
                <w:szCs w:val="21"/>
                <w:lang w:val="en-US" w:eastAsia="zh-CN"/>
              </w:rPr>
              <w:t>1500</w:t>
            </w:r>
            <w:r>
              <w:rPr>
                <w:rFonts w:hint="eastAsia" w:ascii="宋体" w:hAnsi="宋体"/>
                <w:bCs/>
                <w:iCs/>
                <w:sz w:val="21"/>
                <w:szCs w:val="21"/>
              </w:rPr>
              <w:t>平方米左右，库房与生产场所分区，办公场所面积150平方米左右.主要生产设备包括：分切机、制袋机、印刷机</w:t>
            </w:r>
            <w:r>
              <w:rPr>
                <w:rFonts w:hint="eastAsia" w:ascii="宋体" w:hAnsi="宋体"/>
                <w:bCs/>
                <w:iCs/>
                <w:sz w:val="21"/>
                <w:szCs w:val="21"/>
                <w:lang w:eastAsia="zh-CN"/>
              </w:rPr>
              <w:t>、淋膜机、烫金机</w:t>
            </w:r>
            <w:r>
              <w:rPr>
                <w:rFonts w:hint="eastAsia" w:ascii="宋体" w:hAnsi="宋体"/>
                <w:bCs/>
                <w:iCs/>
                <w:sz w:val="21"/>
                <w:szCs w:val="21"/>
              </w:rPr>
              <w:t>等，可以满足生产需要。对设备按月方式进行点检维护保养，并实施。特种设备：</w:t>
            </w:r>
            <w:r>
              <w:rPr>
                <w:rFonts w:hint="eastAsia" w:ascii="宋体" w:hAnsi="宋体"/>
                <w:bCs/>
                <w:iCs/>
                <w:sz w:val="21"/>
                <w:szCs w:val="21"/>
                <w:lang w:eastAsia="zh-CN"/>
              </w:rPr>
              <w:t>叉车</w:t>
            </w:r>
            <w:r>
              <w:rPr>
                <w:rFonts w:hint="eastAsia" w:ascii="宋体" w:hAnsi="宋体"/>
                <w:bCs/>
                <w:iCs/>
                <w:sz w:val="21"/>
                <w:szCs w:val="21"/>
                <w:lang w:val="en-US" w:eastAsia="zh-CN"/>
              </w:rPr>
              <w:t>1台、储气罐2个</w:t>
            </w:r>
            <w:r>
              <w:rPr>
                <w:rFonts w:hint="eastAsia" w:ascii="宋体" w:hAnsi="宋体"/>
                <w:bCs/>
                <w:iCs/>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420" w:firstLineChars="200"/>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cs="宋体"/>
                <w:color w:val="000000"/>
                <w:sz w:val="21"/>
                <w:szCs w:val="21"/>
              </w:rPr>
            </w:pPr>
            <w:r>
              <w:rPr>
                <w:rFonts w:hint="eastAsia" w:ascii="宋体" w:hAnsi="宋体"/>
                <w:b/>
                <w:color w:val="000000" w:themeColor="text1"/>
                <w:sz w:val="21"/>
                <w:szCs w:val="21"/>
              </w:rPr>
              <w:t>监视和测量资源</w:t>
            </w:r>
          </w:p>
          <w:p>
            <w:pPr>
              <w:spacing w:line="240" w:lineRule="exact"/>
              <w:ind w:firstLine="420" w:firstLineChars="200"/>
              <w:rPr>
                <w:rFonts w:ascii="宋体" w:hAnsi="宋体" w:eastAsia="宋体" w:cs="Times New Roman"/>
                <w:b/>
                <w:color w:val="FF0000"/>
                <w:kern w:val="2"/>
                <w:sz w:val="21"/>
                <w:szCs w:val="21"/>
                <w:lang w:val="en-US" w:eastAsia="zh-CN" w:bidi="ar-SA"/>
              </w:rPr>
            </w:pPr>
            <w:r>
              <w:rPr>
                <w:rFonts w:hint="eastAsia" w:ascii="宋体" w:hAnsi="宋体" w:cs="宋体"/>
                <w:color w:val="000000" w:themeColor="text1"/>
                <w:sz w:val="21"/>
                <w:szCs w:val="21"/>
              </w:rPr>
              <w:t>生产车间及检验部门均按策划的要求配置了相应的检测设备，均采用委外送检的方式。抽在用检具的检定或校准证书</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lang w:val="en-US" w:eastAsia="zh-CN"/>
              </w:rPr>
              <w:t>能够</w:t>
            </w:r>
            <w:r>
              <w:rPr>
                <w:rFonts w:hint="eastAsia" w:ascii="宋体" w:hAnsi="宋体" w:cs="宋体"/>
                <w:color w:val="000000" w:themeColor="text1"/>
                <w:sz w:val="21"/>
                <w:szCs w:val="21"/>
              </w:rPr>
              <w:t>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宋体" w:hAnsi="宋体" w:cs="宋体"/>
                <w:color w:val="000000"/>
                <w:sz w:val="21"/>
                <w:szCs w:val="21"/>
              </w:rPr>
              <w:t>内部沟通的效果：良好</w:t>
            </w:r>
          </w:p>
          <w:p>
            <w:pPr>
              <w:spacing w:line="240" w:lineRule="exact"/>
              <w:rPr>
                <w:rFonts w:ascii="楷体_GB2312" w:eastAsia="楷体_GB2312"/>
                <w:b/>
                <w:color w:val="000000" w:themeColor="text1"/>
                <w:sz w:val="21"/>
                <w:szCs w:val="21"/>
              </w:rPr>
            </w:pPr>
          </w:p>
          <w:p>
            <w:pPr>
              <w:spacing w:line="240" w:lineRule="exact"/>
              <w:rPr>
                <w:rFonts w:ascii="宋体" w:hAnsi="宋体" w:cs="宋体"/>
                <w:color w:val="000000"/>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1"/>
                <w:szCs w:val="21"/>
              </w:rPr>
            </w:pPr>
            <w:r>
              <w:rPr>
                <w:rFonts w:hint="eastAsia"/>
                <w:b/>
                <w:color w:val="000000" w:themeColor="text1"/>
                <w:sz w:val="21"/>
                <w:szCs w:val="21"/>
              </w:rPr>
              <w:t>(应说明相关证据)：</w:t>
            </w:r>
            <w:r>
              <w:rPr>
                <w:rFonts w:hint="eastAsia"/>
                <w:color w:val="000000" w:themeColor="text1"/>
                <w:sz w:val="21"/>
                <w:szCs w:val="21"/>
              </w:rPr>
              <w:t>验收规范、验收记录等。</w:t>
            </w:r>
          </w:p>
          <w:p>
            <w:pPr>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无</w:t>
            </w:r>
          </w:p>
          <w:p>
            <w:pPr>
              <w:spacing w:line="240" w:lineRule="exact"/>
              <w:ind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eastAsia="zh-CN"/>
              </w:rPr>
            </w:pPr>
            <w:r>
              <w:rPr>
                <w:rFonts w:hint="eastAsia" w:ascii="宋体" w:hAnsi="宋体"/>
                <w:b w:val="0"/>
                <w:bCs/>
                <w:sz w:val="21"/>
                <w:szCs w:val="21"/>
              </w:rPr>
              <w:t>特种设备：叉车、储气罐</w:t>
            </w:r>
            <w:r>
              <w:rPr>
                <w:rFonts w:hint="eastAsia" w:ascii="宋体" w:hAnsi="宋体"/>
                <w:b w:val="0"/>
                <w:bCs/>
                <w:sz w:val="21"/>
                <w:szCs w:val="21"/>
                <w:lang w:eastAsia="zh-CN"/>
              </w:rPr>
              <w:t>、</w:t>
            </w:r>
            <w:r>
              <w:rPr>
                <w:rFonts w:hint="eastAsia" w:ascii="宋体" w:hAnsi="宋体"/>
                <w:b w:val="0"/>
                <w:bCs/>
                <w:sz w:val="21"/>
                <w:szCs w:val="21"/>
              </w:rPr>
              <w:t>安全阀、压力表</w:t>
            </w:r>
            <w:r>
              <w:rPr>
                <w:rFonts w:hint="eastAsia" w:ascii="宋体" w:hAnsi="宋体"/>
                <w:b w:val="0"/>
                <w:bCs/>
                <w:sz w:val="21"/>
                <w:szCs w:val="21"/>
              </w:rPr>
              <w:t>能提供有效合格证明及年检报告</w:t>
            </w:r>
            <w:r>
              <w:rPr>
                <w:rFonts w:hint="eastAsia" w:ascii="宋体" w:hAnsi="宋体"/>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-2021年3月</w:t>
            </w:r>
            <w:r>
              <w:rPr>
                <w:rFonts w:hint="eastAsia" w:ascii="宋体" w:hAnsi="宋体" w:cs="宋体"/>
                <w:color w:val="000000"/>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11</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400" w:lineRule="exact"/>
              <w:ind w:firstLine="420" w:firstLineChars="200"/>
              <w:rPr>
                <w:rFonts w:ascii="Times New Roman" w:hAnsi="Times New Roman" w:eastAsia="宋体" w:cs="Times New Roman"/>
                <w:b/>
                <w:color w:val="FF0000"/>
                <w:kern w:val="2"/>
                <w:sz w:val="21"/>
                <w:szCs w:val="21"/>
                <w:lang w:val="en-US" w:eastAsia="zh-CN" w:bidi="ar-SA"/>
              </w:rPr>
            </w:pPr>
            <w:r>
              <w:rPr>
                <w:rFonts w:hint="eastAsia" w:ascii="宋体" w:hAnsi="宋体" w:cs="宋体"/>
                <w:sz w:val="21"/>
                <w:szCs w:val="21"/>
              </w:rPr>
              <w:t>建立有《内部审核控制程序》，规定了内审频次一年一次，内审时间：2020年 12月7日至8 日（上次内审时间为2019年5月5日-6日，超过了内审周期，不符合标准要求，已向企业负责人指出</w:t>
            </w:r>
            <w:r>
              <w:rPr>
                <w:rFonts w:hint="eastAsia" w:ascii="宋体" w:hAnsi="宋体" w:cs="宋体"/>
                <w:sz w:val="21"/>
                <w:szCs w:val="21"/>
                <w:lang w:eastAsia="zh-CN"/>
              </w:rPr>
              <w:t>）</w:t>
            </w:r>
            <w:r>
              <w:rPr>
                <w:rFonts w:hint="eastAsia" w:ascii="宋体" w:hAnsi="宋体" w:cs="宋体"/>
                <w:sz w:val="21"/>
                <w:szCs w:val="21"/>
              </w:rPr>
              <w:t>，拟定了审核实施表，明确了内审范围，内审人员经培训合格上岗，能力满足要求，未出现审核本部门情况，内审不符合项1项，</w:t>
            </w:r>
            <w:r>
              <w:rPr>
                <w:rFonts w:hint="eastAsia"/>
                <w:sz w:val="21"/>
                <w:szCs w:val="21"/>
              </w:rPr>
              <w:t xml:space="preserve"> 涉及采购部8.4条款未见公司供应商评价表，针对该不符合项，已及时采取纠正措施后，经内审员验证关闭。</w:t>
            </w:r>
            <w:r>
              <w:rPr>
                <w:rFonts w:hint="eastAsia" w:ascii="宋体" w:hAnsi="宋体" w:cs="宋体"/>
                <w:sz w:val="21"/>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管理评审频次为一年一次、本次管理评审于2020.12.29（上次管理评审时间为2019年5月27日，超过了管理评审周期，不符合标准要求，已向企业负责人指出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rPr>
                <w:rFonts w:ascii="Times New Roman" w:hAnsi="Times New Roman" w:eastAsia="宋体" w:cs="Times New Roman"/>
                <w:color w:val="FF0000"/>
                <w:kern w:val="2"/>
                <w:sz w:val="21"/>
                <w:szCs w:val="21"/>
                <w:lang w:val="en-US" w:eastAsia="zh-CN" w:bidi="ar-SA"/>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00" w:lineRule="exact"/>
              <w:rPr>
                <w:b/>
                <w:color w:val="000000" w:themeColor="text1"/>
                <w:sz w:val="21"/>
                <w:szCs w:val="21"/>
              </w:rPr>
            </w:pPr>
            <w:r>
              <w:rPr>
                <w:rFonts w:hint="eastAsia"/>
                <w:b/>
                <w:color w:val="000000" w:themeColor="text1"/>
                <w:sz w:val="21"/>
                <w:szCs w:val="21"/>
              </w:rPr>
              <w:t>/</w:t>
            </w:r>
          </w:p>
          <w:p>
            <w:pPr>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ascii="Times New Roman" w:hAnsi="Times New Roman" w:eastAsia="宋体" w:cs="Times New Roman"/>
                <w:b/>
                <w:color w:val="FF0000"/>
                <w:kern w:val="2"/>
                <w:sz w:val="21"/>
                <w:szCs w:val="21"/>
                <w:lang w:val="en-US" w:eastAsia="zh-CN" w:bidi="ar-SA"/>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ascii="Times New Roman" w:hAnsi="Times New Roman" w:eastAsia="宋体" w:cs="Times New Roman"/>
                <w:b/>
                <w:color w:val="FF0000"/>
                <w:kern w:val="2"/>
                <w:sz w:val="21"/>
                <w:szCs w:val="21"/>
                <w:lang w:val="en-US" w:eastAsia="zh-CN" w:bidi="ar-SA"/>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2"/>
              </w:numPr>
              <w:spacing w:line="240" w:lineRule="exact"/>
              <w:rPr>
                <w:b/>
                <w:color w:val="000000" w:themeColor="text1"/>
                <w:sz w:val="20"/>
                <w:szCs w:val="20"/>
              </w:rPr>
            </w:pPr>
            <w:r>
              <w:rPr>
                <w:rFonts w:hint="eastAsia"/>
                <w:b/>
                <w:color w:val="000000" w:themeColor="text1"/>
                <w:sz w:val="20"/>
                <w:szCs w:val="20"/>
              </w:rPr>
              <w:t>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2"/>
              </w:numPr>
              <w:spacing w:line="240" w:lineRule="exact"/>
              <w:rPr>
                <w:rFonts w:hint="default" w:ascii="Times New Roman" w:hAnsi="Times New Roman" w:eastAsia="宋体" w:cs="Times New Roman"/>
                <w:b/>
                <w:color w:val="000000" w:themeColor="text1"/>
                <w:sz w:val="21"/>
                <w:szCs w:val="21"/>
                <w:lang w:val="en-US" w:eastAsia="zh-CN"/>
              </w:rPr>
            </w:pPr>
            <w:r>
              <w:rPr>
                <w:rFonts w:hint="eastAsia" w:ascii="Times New Roman" w:hAnsi="Times New Roman" w:eastAsia="宋体" w:cs="Times New Roman"/>
                <w:b/>
                <w:color w:val="000000" w:themeColor="text1"/>
                <w:sz w:val="21"/>
                <w:szCs w:val="21"/>
              </w:rPr>
              <w:t>上次不符合的整改情况（再认证填写）</w:t>
            </w:r>
          </w:p>
          <w:p>
            <w:pPr>
              <w:numPr>
                <w:ilvl w:val="0"/>
                <w:numId w:val="0"/>
              </w:numPr>
              <w:spacing w:line="240" w:lineRule="exact"/>
              <w:ind w:left="0" w:leftChars="0" w:firstLine="0" w:firstLineChars="0"/>
              <w:rPr>
                <w:rFonts w:hint="default"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lang w:val="en-US" w:eastAsia="zh-CN"/>
              </w:rPr>
              <w:t>查上次审核不符合项为Q7.1.3</w:t>
            </w:r>
            <w:r>
              <w:rPr>
                <w:rFonts w:hint="eastAsia" w:ascii="宋体" w:hAnsi="宋体"/>
                <w:color w:val="000000" w:themeColor="text1"/>
                <w:sz w:val="21"/>
                <w:szCs w:val="21"/>
              </w:rPr>
              <w:t>特种设备</w:t>
            </w:r>
            <w:r>
              <w:rPr>
                <w:rFonts w:hint="eastAsia" w:ascii="宋体" w:hAnsi="宋体"/>
                <w:color w:val="000000" w:themeColor="text1"/>
                <w:sz w:val="21"/>
                <w:szCs w:val="21"/>
                <w:lang w:val="en-US" w:eastAsia="zh-CN"/>
              </w:rPr>
              <w:t>无年检报告</w:t>
            </w:r>
            <w:r>
              <w:rPr>
                <w:rFonts w:hint="eastAsia" w:ascii="宋体" w:hAnsi="宋体" w:cs="宋体"/>
                <w:color w:val="000000"/>
                <w:sz w:val="21"/>
                <w:szCs w:val="21"/>
                <w:lang w:val="en-US" w:eastAsia="zh-CN"/>
              </w:rPr>
              <w:t>、7.1.5计量器具无校准报告，经本次验证，已完成整改，并保持有效，</w:t>
            </w:r>
            <w:r>
              <w:rPr>
                <w:rFonts w:hint="eastAsia" w:ascii="宋体" w:hAnsi="宋体" w:eastAsia="宋体" w:cs="宋体"/>
                <w:color w:val="auto"/>
                <w:sz w:val="21"/>
                <w:szCs w:val="21"/>
                <w:highlight w:val="none"/>
              </w:rPr>
              <w:t>且无类似不符合情况出现</w:t>
            </w:r>
            <w:r>
              <w:rPr>
                <w:rFonts w:hint="eastAsia" w:ascii="Times New Roman" w:hAnsi="Times New Roman" w:eastAsia="宋体" w:cs="Times New Roman"/>
                <w:b w:val="0"/>
                <w:bCs/>
                <w:color w:val="000000" w:themeColor="text1"/>
                <w:sz w:val="21"/>
                <w:szCs w:val="21"/>
                <w:lang w:val="en-US" w:eastAsia="zh-CN"/>
              </w:rPr>
              <w:t>。</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b/>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行政部</w:t>
      </w:r>
      <w:r>
        <w:rPr>
          <w:rFonts w:hint="eastAsia" w:ascii="宋体" w:hAnsi="宋体"/>
          <w:b/>
          <w:szCs w:val="21"/>
        </w:rPr>
        <w:t>部门</w:t>
      </w:r>
      <w:r>
        <w:rPr>
          <w:rFonts w:hint="eastAsia" w:ascii="宋体" w:hAnsi="宋体"/>
          <w:b/>
          <w:szCs w:val="21"/>
          <w:lang w:val="en-US" w:eastAsia="zh-CN"/>
        </w:rPr>
        <w:t>7.1.5</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rFonts w:ascii="Times New Roman" w:hAnsi="Times New Roman" w:eastAsia="宋体" w:cs="Times New Roman"/>
                <w:b/>
                <w:color w:val="000000" w:themeColor="text1"/>
                <w:kern w:val="2"/>
                <w:sz w:val="28"/>
                <w:szCs w:val="28"/>
                <w:lang w:val="en-US" w:eastAsia="zh-CN" w:bidi="ar-SA"/>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color w:val="000000"/>
                <w:szCs w:val="21"/>
                <w:u w:val="single"/>
              </w:rPr>
              <w:t>无纺布袋制造</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Times New Roman" w:hAnsi="Times New Roman" w:eastAsia="宋体" w:cs="Times New Roman"/>
                <w:b/>
                <w:color w:val="000000" w:themeColor="text1"/>
                <w:spacing w:val="-10"/>
                <w:kern w:val="2"/>
                <w:sz w:val="22"/>
                <w:szCs w:val="22"/>
                <w:lang w:val="en-US" w:eastAsia="zh-CN" w:bidi="ar-SA"/>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1692910</wp:posOffset>
            </wp:positionH>
            <wp:positionV relativeFrom="paragraph">
              <wp:posOffset>206375</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722630" cy="33020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eastAsia="宋体"/>
          <w:b/>
          <w:sz w:val="21"/>
          <w:lang w:eastAsia="zh-CN"/>
        </w:rPr>
      </w:pPr>
      <w:r>
        <w:rPr>
          <w:rFonts w:hint="eastAsia" w:eastAsia="宋体"/>
          <w:b/>
          <w:sz w:val="21"/>
          <w:lang w:eastAsia="zh-CN"/>
        </w:rPr>
        <w:drawing>
          <wp:anchor distT="0" distB="0" distL="114300" distR="114300" simplePos="0" relativeHeight="251663360" behindDoc="1" locked="0" layoutInCell="1" allowOverlap="1">
            <wp:simplePos x="0" y="0"/>
            <wp:positionH relativeFrom="column">
              <wp:posOffset>1735455</wp:posOffset>
            </wp:positionH>
            <wp:positionV relativeFrom="paragraph">
              <wp:posOffset>61595</wp:posOffset>
            </wp:positionV>
            <wp:extent cx="478155" cy="397510"/>
            <wp:effectExtent l="0" t="0" r="9525" b="13970"/>
            <wp:wrapNone/>
            <wp:docPr id="1" name="图片 1" descr="e8ce1fe126d5c2fde7d19f84ec7ea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8ce1fe126d5c2fde7d19f84ec7ea19"/>
                    <pic:cNvPicPr>
                      <a:picLocks noChangeAspect="1"/>
                    </pic:cNvPicPr>
                  </pic:nvPicPr>
                  <pic:blipFill>
                    <a:blip r:embed="rId7"/>
                    <a:stretch>
                      <a:fillRect/>
                    </a:stretch>
                  </pic:blipFill>
                  <pic:spPr>
                    <a:xfrm>
                      <a:off x="0" y="0"/>
                      <a:ext cx="478155" cy="39751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2021.4.14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bCs/>
          <w:sz w:val="21"/>
          <w:szCs w:val="21"/>
          <w:lang w:eastAsia="zh-CN"/>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bookmarkStart w:id="28" w:name="_GoBack"/>
      <w:bookmarkEnd w:id="28"/>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b/>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default" w:eastAsia="宋体"/>
          <w:b/>
          <w:sz w:val="21"/>
          <w:szCs w:val="21"/>
          <w:u w:val="single"/>
          <w:lang w:val="en-US" w:eastAsia="zh-CN"/>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1159510</wp:posOffset>
            </wp:positionH>
            <wp:positionV relativeFrom="paragraph">
              <wp:posOffset>33020</wp:posOffset>
            </wp:positionV>
            <wp:extent cx="722630" cy="330200"/>
            <wp:effectExtent l="0" t="0" r="8890" b="5080"/>
            <wp:wrapNone/>
            <wp:docPr id="2" name="图片 2"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ac17c702f787ebcb7b5ad453f94b0"/>
                    <pic:cNvPicPr>
                      <a:picLocks noChangeAspect="1"/>
                    </pic:cNvPicPr>
                  </pic:nvPicPr>
                  <pic:blipFill>
                    <a:blip r:embed="rId6"/>
                    <a:stretch>
                      <a:fillRect/>
                    </a:stretch>
                  </pic:blipFill>
                  <pic:spPr>
                    <a:xfrm>
                      <a:off x="0" y="0"/>
                      <a:ext cx="722630" cy="330200"/>
                    </a:xfrm>
                    <a:prstGeom prst="rect">
                      <a:avLst/>
                    </a:prstGeom>
                  </pic:spPr>
                </pic:pic>
              </a:graphicData>
            </a:graphic>
          </wp:anchor>
        </w:drawing>
      </w:r>
      <w:r>
        <w:rPr>
          <w:rFonts w:hint="eastAsia"/>
          <w:b/>
          <w:sz w:val="21"/>
          <w:szCs w:val="21"/>
        </w:rPr>
        <w:t>组长签字：</w:t>
      </w:r>
      <w:r>
        <w:rPr>
          <w:rFonts w:hint="eastAsia"/>
          <w:b/>
          <w:sz w:val="21"/>
          <w:szCs w:val="21"/>
          <w:lang w:val="en-US" w:eastAsia="zh-CN"/>
        </w:rPr>
        <w:t xml:space="preserve">                             日期：2021年4月16日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EEBB2"/>
    <w:multiLevelType w:val="singleLevel"/>
    <w:tmpl w:val="29DEEBB2"/>
    <w:lvl w:ilvl="0" w:tentative="0">
      <w:start w:val="3"/>
      <w:numFmt w:val="decimal"/>
      <w:suff w:val="space"/>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D96C67"/>
    <w:rsid w:val="44CF4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3"/>
    <customShpInfo spid="_x0000_s2054"/>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yuer</cp:lastModifiedBy>
  <cp:lastPrinted>2019-04-18T08:15:00Z</cp:lastPrinted>
  <dcterms:modified xsi:type="dcterms:W3CDTF">2021-04-13T09:41:39Z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CFC6EC733F3B4FA2B5A0D27A67352760</vt:lpwstr>
  </property>
</Properties>
</file>