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140" w:firstLineChars="2300"/>
        <w:rPr>
          <w:rFonts w:hint="eastAsia" w:ascii="宋体" w:hAnsi="宋体"/>
          <w:b w:val="0"/>
          <w:bCs w:val="0"/>
          <w:kern w:val="0"/>
          <w:sz w:val="18"/>
          <w:szCs w:val="18"/>
        </w:rPr>
      </w:pPr>
    </w:p>
    <w:p>
      <w:pPr>
        <w:snapToGrid w:val="0"/>
        <w:spacing w:line="480" w:lineRule="auto"/>
        <w:ind w:firstLine="6300" w:firstLineChars="3500"/>
        <w:rPr>
          <w:b w:val="0"/>
          <w:bCs w:val="0"/>
          <w:sz w:val="18"/>
          <w:szCs w:val="18"/>
        </w:rPr>
      </w:pPr>
      <w:r>
        <w:rPr>
          <w:rFonts w:hint="eastAsia" w:ascii="宋体" w:hAnsi="宋体"/>
          <w:b w:val="0"/>
          <w:bCs w:val="0"/>
          <w:kern w:val="0"/>
          <w:sz w:val="18"/>
          <w:szCs w:val="18"/>
        </w:rPr>
        <w:t>合同号:</w:t>
      </w:r>
      <w:r>
        <w:rPr>
          <w:rFonts w:hint="eastAsia" w:ascii="宋体" w:hAnsi="宋体"/>
          <w:b w:val="0"/>
          <w:bCs w:val="0"/>
          <w:kern w:val="0"/>
          <w:sz w:val="18"/>
          <w:szCs w:val="18"/>
          <w:u w:val="single"/>
        </w:rPr>
        <w:t xml:space="preserve"> </w:t>
      </w:r>
      <w:bookmarkStart w:id="0" w:name="合同编号"/>
      <w:r>
        <w:rPr>
          <w:rFonts w:hint="eastAsia" w:ascii="宋体" w:hAnsi="宋体"/>
          <w:b w:val="0"/>
          <w:bCs w:val="0"/>
          <w:kern w:val="0"/>
          <w:sz w:val="18"/>
          <w:szCs w:val="18"/>
          <w:u w:val="single"/>
        </w:rPr>
        <w:t>0233-2019-QEO-2020</w:t>
      </w:r>
      <w:bookmarkEnd w:id="0"/>
      <w:r>
        <w:rPr>
          <w:rFonts w:hint="eastAsia" w:ascii="宋体" w:hAnsi="宋体"/>
          <w:b w:val="0"/>
          <w:bCs w:val="0"/>
          <w:kern w:val="0"/>
          <w:sz w:val="18"/>
          <w:szCs w:val="18"/>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宋体" w:hAnsi="宋体"/>
          <w:b/>
          <w:bCs/>
          <w:kern w:val="0"/>
          <w:szCs w:val="21"/>
          <w:u w:val="single"/>
        </w:rPr>
        <w:t>甘肃旺达绿禾肥业有限责任公司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bookmarkStart w:id="28" w:name="_GoBack"/>
      <w:bookmarkEnd w:id="28"/>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668"/>
        <w:gridCol w:w="812"/>
        <w:gridCol w:w="1330"/>
        <w:gridCol w:w="2676"/>
        <w:gridCol w:w="993"/>
        <w:gridCol w:w="96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6"/>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4"/>
          </w:tcPr>
          <w:p>
            <w:pPr>
              <w:rPr>
                <w:b/>
                <w:sz w:val="21"/>
                <w:szCs w:val="21"/>
              </w:rPr>
            </w:pPr>
            <w:r>
              <w:rPr>
                <w:rFonts w:hint="eastAsia"/>
                <w:b/>
                <w:sz w:val="21"/>
                <w:szCs w:val="21"/>
              </w:rPr>
              <w:t>北京市朝阳区北苑路168号1号楼16层1603</w:t>
            </w:r>
          </w:p>
        </w:tc>
        <w:tc>
          <w:tcPr>
            <w:tcW w:w="961" w:type="dxa"/>
          </w:tcPr>
          <w:p>
            <w:pPr>
              <w:rPr>
                <w:b/>
                <w:sz w:val="21"/>
                <w:szCs w:val="21"/>
              </w:rPr>
            </w:pPr>
            <w:r>
              <w:rPr>
                <w:rFonts w:hint="eastAsia"/>
                <w:b/>
                <w:sz w:val="21"/>
                <w:szCs w:val="21"/>
              </w:rPr>
              <w:t>邮编</w:t>
            </w:r>
          </w:p>
        </w:tc>
        <w:tc>
          <w:tcPr>
            <w:tcW w:w="1503"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6"/>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8"/>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1" w:type="dxa"/>
            <w:vAlign w:val="center"/>
          </w:tcPr>
          <w:p>
            <w:pPr>
              <w:jc w:val="center"/>
              <w:rPr>
                <w:b/>
                <w:sz w:val="21"/>
                <w:szCs w:val="21"/>
              </w:rPr>
            </w:pPr>
            <w:r>
              <w:rPr>
                <w:rFonts w:hint="eastAsia"/>
                <w:b/>
                <w:sz w:val="21"/>
                <w:szCs w:val="21"/>
              </w:rPr>
              <w:t>姓名</w:t>
            </w:r>
          </w:p>
        </w:tc>
        <w:tc>
          <w:tcPr>
            <w:tcW w:w="668" w:type="dxa"/>
            <w:vAlign w:val="center"/>
          </w:tcPr>
          <w:p>
            <w:pPr>
              <w:jc w:val="center"/>
              <w:rPr>
                <w:b/>
                <w:sz w:val="21"/>
                <w:szCs w:val="21"/>
              </w:rPr>
            </w:pPr>
            <w:r>
              <w:rPr>
                <w:rFonts w:hint="eastAsia"/>
                <w:b/>
                <w:sz w:val="21"/>
                <w:szCs w:val="21"/>
              </w:rPr>
              <w:t>性别</w:t>
            </w:r>
          </w:p>
        </w:tc>
        <w:tc>
          <w:tcPr>
            <w:tcW w:w="812" w:type="dxa"/>
            <w:vAlign w:val="center"/>
          </w:tcPr>
          <w:p>
            <w:pPr>
              <w:jc w:val="center"/>
              <w:rPr>
                <w:b/>
                <w:sz w:val="21"/>
                <w:szCs w:val="21"/>
              </w:rPr>
            </w:pPr>
            <w:r>
              <w:rPr>
                <w:rFonts w:hint="eastAsia"/>
                <w:b/>
                <w:sz w:val="21"/>
                <w:szCs w:val="21"/>
              </w:rPr>
              <w:t>职务</w:t>
            </w:r>
          </w:p>
        </w:tc>
        <w:tc>
          <w:tcPr>
            <w:tcW w:w="1330" w:type="dxa"/>
            <w:vAlign w:val="center"/>
          </w:tcPr>
          <w:p>
            <w:pPr>
              <w:jc w:val="center"/>
              <w:rPr>
                <w:b/>
                <w:sz w:val="21"/>
                <w:szCs w:val="21"/>
              </w:rPr>
            </w:pPr>
            <w:r>
              <w:rPr>
                <w:rFonts w:hint="eastAsia"/>
                <w:b/>
                <w:sz w:val="21"/>
                <w:szCs w:val="21"/>
              </w:rPr>
              <w:t>注册级别</w:t>
            </w:r>
          </w:p>
        </w:tc>
        <w:tc>
          <w:tcPr>
            <w:tcW w:w="2676" w:type="dxa"/>
            <w:vAlign w:val="center"/>
          </w:tcPr>
          <w:p>
            <w:pPr>
              <w:jc w:val="center"/>
              <w:rPr>
                <w:b/>
                <w:sz w:val="21"/>
                <w:szCs w:val="21"/>
              </w:rPr>
            </w:pPr>
            <w:r>
              <w:rPr>
                <w:rFonts w:hint="eastAsia"/>
                <w:b/>
                <w:sz w:val="21"/>
                <w:szCs w:val="21"/>
              </w:rPr>
              <w:t>审核员注册号</w:t>
            </w:r>
          </w:p>
        </w:tc>
        <w:tc>
          <w:tcPr>
            <w:tcW w:w="1954" w:type="dxa"/>
            <w:gridSpan w:val="2"/>
            <w:vAlign w:val="center"/>
          </w:tcPr>
          <w:p>
            <w:pPr>
              <w:jc w:val="center"/>
              <w:rPr>
                <w:b/>
                <w:sz w:val="21"/>
                <w:szCs w:val="21"/>
              </w:rPr>
            </w:pPr>
            <w:r>
              <w:rPr>
                <w:rFonts w:hint="eastAsia"/>
                <w:b/>
                <w:sz w:val="21"/>
                <w:szCs w:val="21"/>
              </w:rPr>
              <w:t>专业代码</w:t>
            </w:r>
          </w:p>
        </w:tc>
        <w:tc>
          <w:tcPr>
            <w:tcW w:w="150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1" w:type="dxa"/>
            <w:vAlign w:val="center"/>
          </w:tcPr>
          <w:p>
            <w:pPr>
              <w:jc w:val="center"/>
              <w:rPr>
                <w:b w:val="0"/>
                <w:bCs/>
                <w:sz w:val="21"/>
                <w:szCs w:val="21"/>
              </w:rPr>
            </w:pPr>
            <w:r>
              <w:rPr>
                <w:b w:val="0"/>
                <w:bCs/>
                <w:sz w:val="21"/>
                <w:szCs w:val="21"/>
              </w:rPr>
              <w:t>周涛</w:t>
            </w:r>
          </w:p>
        </w:tc>
        <w:tc>
          <w:tcPr>
            <w:tcW w:w="668" w:type="dxa"/>
            <w:vAlign w:val="center"/>
          </w:tcPr>
          <w:p>
            <w:pPr>
              <w:jc w:val="center"/>
              <w:rPr>
                <w:b w:val="0"/>
                <w:bCs/>
                <w:sz w:val="21"/>
                <w:szCs w:val="21"/>
              </w:rPr>
            </w:pPr>
            <w:r>
              <w:rPr>
                <w:b w:val="0"/>
                <w:bCs/>
                <w:sz w:val="21"/>
                <w:szCs w:val="21"/>
              </w:rPr>
              <w:t>男</w:t>
            </w:r>
          </w:p>
        </w:tc>
        <w:tc>
          <w:tcPr>
            <w:tcW w:w="812" w:type="dxa"/>
            <w:vAlign w:val="center"/>
          </w:tcPr>
          <w:p>
            <w:pPr>
              <w:jc w:val="center"/>
              <w:rPr>
                <w:b w:val="0"/>
                <w:bCs/>
                <w:sz w:val="21"/>
                <w:szCs w:val="21"/>
              </w:rPr>
            </w:pPr>
            <w:r>
              <w:rPr>
                <w:b w:val="0"/>
                <w:bCs/>
                <w:sz w:val="21"/>
                <w:szCs w:val="21"/>
              </w:rPr>
              <w:t>组长</w:t>
            </w:r>
          </w:p>
        </w:tc>
        <w:tc>
          <w:tcPr>
            <w:tcW w:w="1330" w:type="dxa"/>
            <w:vAlign w:val="center"/>
          </w:tcPr>
          <w:p>
            <w:pPr>
              <w:jc w:val="center"/>
              <w:rPr>
                <w:b w:val="0"/>
                <w:bCs/>
                <w:sz w:val="21"/>
                <w:szCs w:val="21"/>
              </w:rPr>
            </w:pPr>
            <w:r>
              <w:rPr>
                <w:b w:val="0"/>
                <w:bCs/>
                <w:sz w:val="21"/>
                <w:szCs w:val="21"/>
              </w:rPr>
              <w:t>E:审核员</w:t>
            </w:r>
          </w:p>
          <w:p>
            <w:pPr>
              <w:jc w:val="center"/>
              <w:rPr>
                <w:b w:val="0"/>
                <w:bCs/>
                <w:sz w:val="21"/>
                <w:szCs w:val="21"/>
              </w:rPr>
            </w:pPr>
            <w:r>
              <w:rPr>
                <w:b w:val="0"/>
                <w:bCs/>
                <w:sz w:val="21"/>
                <w:szCs w:val="21"/>
              </w:rPr>
              <w:t>O:审核员</w:t>
            </w:r>
          </w:p>
          <w:p>
            <w:pPr>
              <w:jc w:val="center"/>
              <w:rPr>
                <w:b w:val="0"/>
                <w:bCs/>
                <w:sz w:val="21"/>
                <w:szCs w:val="21"/>
              </w:rPr>
            </w:pPr>
            <w:r>
              <w:rPr>
                <w:b w:val="0"/>
                <w:bCs/>
                <w:sz w:val="21"/>
                <w:szCs w:val="21"/>
              </w:rPr>
              <w:t>Q:审核员</w:t>
            </w:r>
          </w:p>
        </w:tc>
        <w:tc>
          <w:tcPr>
            <w:tcW w:w="2676" w:type="dxa"/>
            <w:vAlign w:val="center"/>
          </w:tcPr>
          <w:p>
            <w:pPr>
              <w:jc w:val="center"/>
              <w:rPr>
                <w:b w:val="0"/>
                <w:bCs/>
                <w:sz w:val="21"/>
                <w:szCs w:val="21"/>
              </w:rPr>
            </w:pPr>
            <w:r>
              <w:rPr>
                <w:b w:val="0"/>
                <w:bCs/>
                <w:sz w:val="21"/>
                <w:szCs w:val="21"/>
              </w:rPr>
              <w:t>2018-N1EMS-2072033</w:t>
            </w:r>
          </w:p>
          <w:p>
            <w:pPr>
              <w:jc w:val="center"/>
              <w:rPr>
                <w:b w:val="0"/>
                <w:bCs/>
                <w:sz w:val="21"/>
                <w:szCs w:val="21"/>
              </w:rPr>
            </w:pPr>
            <w:r>
              <w:rPr>
                <w:b w:val="0"/>
                <w:bCs/>
                <w:sz w:val="21"/>
                <w:szCs w:val="21"/>
              </w:rPr>
              <w:t>2018-N1OHSMS-2072033</w:t>
            </w:r>
          </w:p>
          <w:p>
            <w:pPr>
              <w:jc w:val="center"/>
              <w:rPr>
                <w:b w:val="0"/>
                <w:bCs/>
                <w:sz w:val="21"/>
                <w:szCs w:val="21"/>
              </w:rPr>
            </w:pPr>
            <w:r>
              <w:rPr>
                <w:b w:val="0"/>
                <w:bCs/>
                <w:sz w:val="21"/>
                <w:szCs w:val="21"/>
              </w:rPr>
              <w:t>2019-N1QMS-3072033</w:t>
            </w:r>
          </w:p>
        </w:tc>
        <w:tc>
          <w:tcPr>
            <w:tcW w:w="1954" w:type="dxa"/>
            <w:gridSpan w:val="2"/>
            <w:vAlign w:val="center"/>
          </w:tcPr>
          <w:p>
            <w:pPr>
              <w:jc w:val="center"/>
              <w:rPr>
                <w:b w:val="0"/>
                <w:bCs/>
                <w:sz w:val="21"/>
                <w:szCs w:val="21"/>
              </w:rPr>
            </w:pPr>
            <w:r>
              <w:rPr>
                <w:b w:val="0"/>
                <w:bCs/>
                <w:sz w:val="21"/>
                <w:szCs w:val="21"/>
              </w:rPr>
              <w:t>E:29.11.05</w:t>
            </w:r>
          </w:p>
          <w:p>
            <w:pPr>
              <w:jc w:val="center"/>
              <w:rPr>
                <w:b w:val="0"/>
                <w:bCs/>
                <w:sz w:val="21"/>
                <w:szCs w:val="21"/>
              </w:rPr>
            </w:pPr>
            <w:r>
              <w:rPr>
                <w:b w:val="0"/>
                <w:bCs/>
                <w:sz w:val="21"/>
                <w:szCs w:val="21"/>
              </w:rPr>
              <w:t>O:29.11.05</w:t>
            </w:r>
          </w:p>
          <w:p>
            <w:pPr>
              <w:jc w:val="center"/>
              <w:rPr>
                <w:b w:val="0"/>
                <w:bCs/>
                <w:sz w:val="21"/>
                <w:szCs w:val="21"/>
              </w:rPr>
            </w:pPr>
            <w:r>
              <w:rPr>
                <w:b w:val="0"/>
                <w:bCs/>
                <w:sz w:val="21"/>
                <w:szCs w:val="21"/>
              </w:rPr>
              <w:t>Q:29.11.05</w:t>
            </w:r>
          </w:p>
        </w:tc>
        <w:tc>
          <w:tcPr>
            <w:tcW w:w="1503" w:type="dxa"/>
            <w:vAlign w:val="center"/>
          </w:tcPr>
          <w:p>
            <w:pPr>
              <w:jc w:val="center"/>
              <w:rPr>
                <w:b w:val="0"/>
                <w:bCs/>
                <w:sz w:val="21"/>
                <w:szCs w:val="21"/>
              </w:rPr>
            </w:pPr>
            <w:r>
              <w:rPr>
                <w:b w:val="0"/>
                <w:bCs/>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1" w:type="dxa"/>
            <w:vAlign w:val="center"/>
          </w:tcPr>
          <w:p>
            <w:pPr>
              <w:jc w:val="center"/>
              <w:rPr>
                <w:b w:val="0"/>
                <w:bCs/>
                <w:sz w:val="21"/>
                <w:szCs w:val="21"/>
              </w:rPr>
            </w:pPr>
            <w:r>
              <w:rPr>
                <w:b w:val="0"/>
                <w:bCs/>
                <w:sz w:val="21"/>
                <w:szCs w:val="21"/>
              </w:rPr>
              <w:t>王伟民</w:t>
            </w:r>
          </w:p>
        </w:tc>
        <w:tc>
          <w:tcPr>
            <w:tcW w:w="668" w:type="dxa"/>
            <w:vAlign w:val="center"/>
          </w:tcPr>
          <w:p>
            <w:pPr>
              <w:jc w:val="center"/>
              <w:rPr>
                <w:b w:val="0"/>
                <w:bCs/>
                <w:sz w:val="21"/>
                <w:szCs w:val="21"/>
              </w:rPr>
            </w:pPr>
            <w:r>
              <w:rPr>
                <w:b w:val="0"/>
                <w:bCs/>
                <w:sz w:val="21"/>
                <w:szCs w:val="21"/>
              </w:rPr>
              <w:t>男</w:t>
            </w:r>
          </w:p>
        </w:tc>
        <w:tc>
          <w:tcPr>
            <w:tcW w:w="812" w:type="dxa"/>
            <w:vAlign w:val="center"/>
          </w:tcPr>
          <w:p>
            <w:pPr>
              <w:jc w:val="center"/>
              <w:rPr>
                <w:b w:val="0"/>
                <w:bCs/>
                <w:sz w:val="21"/>
                <w:szCs w:val="21"/>
              </w:rPr>
            </w:pPr>
            <w:r>
              <w:rPr>
                <w:b w:val="0"/>
                <w:bCs/>
                <w:sz w:val="21"/>
                <w:szCs w:val="21"/>
              </w:rPr>
              <w:t>组员</w:t>
            </w:r>
          </w:p>
        </w:tc>
        <w:tc>
          <w:tcPr>
            <w:tcW w:w="1330" w:type="dxa"/>
            <w:vAlign w:val="center"/>
          </w:tcPr>
          <w:p>
            <w:pPr>
              <w:jc w:val="center"/>
              <w:rPr>
                <w:b w:val="0"/>
                <w:bCs/>
                <w:sz w:val="21"/>
                <w:szCs w:val="21"/>
              </w:rPr>
            </w:pPr>
            <w:r>
              <w:rPr>
                <w:b w:val="0"/>
                <w:bCs/>
                <w:sz w:val="21"/>
                <w:szCs w:val="21"/>
              </w:rPr>
              <w:t>E:专家</w:t>
            </w:r>
          </w:p>
          <w:p>
            <w:pPr>
              <w:jc w:val="center"/>
              <w:rPr>
                <w:b w:val="0"/>
                <w:bCs/>
                <w:sz w:val="21"/>
                <w:szCs w:val="21"/>
              </w:rPr>
            </w:pPr>
            <w:r>
              <w:rPr>
                <w:b w:val="0"/>
                <w:bCs/>
                <w:sz w:val="21"/>
                <w:szCs w:val="21"/>
              </w:rPr>
              <w:t>O:专家</w:t>
            </w:r>
          </w:p>
          <w:p>
            <w:pPr>
              <w:jc w:val="center"/>
              <w:rPr>
                <w:b w:val="0"/>
                <w:bCs/>
                <w:sz w:val="21"/>
                <w:szCs w:val="21"/>
              </w:rPr>
            </w:pPr>
            <w:r>
              <w:rPr>
                <w:b w:val="0"/>
                <w:bCs/>
                <w:sz w:val="21"/>
                <w:szCs w:val="21"/>
              </w:rPr>
              <w:t>Q:专家</w:t>
            </w:r>
          </w:p>
          <w:p>
            <w:pPr>
              <w:jc w:val="center"/>
              <w:rPr>
                <w:b w:val="0"/>
                <w:bCs/>
                <w:sz w:val="21"/>
                <w:szCs w:val="21"/>
              </w:rPr>
            </w:pPr>
          </w:p>
        </w:tc>
        <w:tc>
          <w:tcPr>
            <w:tcW w:w="2676" w:type="dxa"/>
            <w:vAlign w:val="center"/>
          </w:tcPr>
          <w:p>
            <w:pPr>
              <w:jc w:val="center"/>
              <w:rPr>
                <w:b w:val="0"/>
                <w:bCs/>
                <w:sz w:val="21"/>
                <w:szCs w:val="21"/>
              </w:rPr>
            </w:pPr>
            <w:r>
              <w:rPr>
                <w:b w:val="0"/>
                <w:bCs/>
                <w:sz w:val="21"/>
                <w:szCs w:val="21"/>
              </w:rPr>
              <w:t>ISC-JSZJ-185</w:t>
            </w:r>
          </w:p>
          <w:p>
            <w:pPr>
              <w:jc w:val="center"/>
              <w:rPr>
                <w:b w:val="0"/>
                <w:bCs/>
                <w:sz w:val="21"/>
                <w:szCs w:val="21"/>
              </w:rPr>
            </w:pPr>
            <w:r>
              <w:rPr>
                <w:b w:val="0"/>
                <w:bCs/>
                <w:sz w:val="21"/>
                <w:szCs w:val="21"/>
              </w:rPr>
              <w:t>ISC-JSZJ-185</w:t>
            </w:r>
          </w:p>
          <w:p>
            <w:pPr>
              <w:jc w:val="center"/>
              <w:rPr>
                <w:b w:val="0"/>
                <w:bCs/>
                <w:sz w:val="21"/>
                <w:szCs w:val="21"/>
              </w:rPr>
            </w:pPr>
            <w:r>
              <w:rPr>
                <w:b w:val="0"/>
                <w:bCs/>
                <w:sz w:val="21"/>
                <w:szCs w:val="21"/>
              </w:rPr>
              <w:t>ISC-JSZJ-185</w:t>
            </w:r>
          </w:p>
          <w:p>
            <w:pPr>
              <w:jc w:val="center"/>
              <w:rPr>
                <w:b w:val="0"/>
                <w:bCs/>
                <w:sz w:val="21"/>
                <w:szCs w:val="21"/>
              </w:rPr>
            </w:pPr>
            <w:r>
              <w:rPr>
                <w:b w:val="0"/>
                <w:bCs/>
                <w:sz w:val="21"/>
                <w:szCs w:val="21"/>
              </w:rPr>
              <w:t>甘肃通用丰肥业有限公司</w:t>
            </w:r>
          </w:p>
        </w:tc>
        <w:tc>
          <w:tcPr>
            <w:tcW w:w="1954" w:type="dxa"/>
            <w:gridSpan w:val="2"/>
            <w:vAlign w:val="center"/>
          </w:tcPr>
          <w:p>
            <w:pPr>
              <w:jc w:val="center"/>
              <w:rPr>
                <w:b w:val="0"/>
                <w:bCs/>
                <w:sz w:val="21"/>
                <w:szCs w:val="21"/>
              </w:rPr>
            </w:pPr>
            <w:r>
              <w:rPr>
                <w:b w:val="0"/>
                <w:bCs/>
                <w:sz w:val="21"/>
                <w:szCs w:val="21"/>
              </w:rPr>
              <w:t>E:12.01.05,29.11.05</w:t>
            </w:r>
          </w:p>
          <w:p>
            <w:pPr>
              <w:jc w:val="center"/>
              <w:rPr>
                <w:b w:val="0"/>
                <w:bCs/>
                <w:sz w:val="21"/>
                <w:szCs w:val="21"/>
              </w:rPr>
            </w:pPr>
            <w:r>
              <w:rPr>
                <w:b w:val="0"/>
                <w:bCs/>
                <w:sz w:val="21"/>
                <w:szCs w:val="21"/>
              </w:rPr>
              <w:t>O:12.01.05,29.11.05</w:t>
            </w:r>
          </w:p>
          <w:p>
            <w:pPr>
              <w:jc w:val="center"/>
              <w:rPr>
                <w:b w:val="0"/>
                <w:bCs/>
                <w:sz w:val="21"/>
                <w:szCs w:val="21"/>
              </w:rPr>
            </w:pPr>
            <w:r>
              <w:rPr>
                <w:b w:val="0"/>
                <w:bCs/>
                <w:sz w:val="21"/>
                <w:szCs w:val="21"/>
              </w:rPr>
              <w:t>Q:12.01.05,29.11.05</w:t>
            </w:r>
          </w:p>
        </w:tc>
        <w:tc>
          <w:tcPr>
            <w:tcW w:w="1503" w:type="dxa"/>
            <w:vAlign w:val="center"/>
          </w:tcPr>
          <w:p>
            <w:pPr>
              <w:jc w:val="center"/>
              <w:rPr>
                <w:b w:val="0"/>
                <w:bCs/>
                <w:sz w:val="21"/>
                <w:szCs w:val="21"/>
              </w:rPr>
            </w:pPr>
            <w:r>
              <w:rPr>
                <w:b w:val="0"/>
                <w:bCs/>
                <w:sz w:val="21"/>
                <w:szCs w:val="21"/>
              </w:rPr>
              <w:t>ISC-JSZJ-185</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668"/>
        <w:gridCol w:w="441"/>
        <w:gridCol w:w="379"/>
        <w:gridCol w:w="1230"/>
        <w:gridCol w:w="9"/>
        <w:gridCol w:w="401"/>
        <w:gridCol w:w="127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val="0"/>
                <w:bCs/>
                <w:sz w:val="16"/>
                <w:szCs w:val="16"/>
              </w:rPr>
            </w:pPr>
            <w:r>
              <w:rPr>
                <w:rFonts w:hint="eastAsia" w:ascii="宋体" w:hAnsi="宋体"/>
                <w:b w:val="0"/>
                <w:bCs/>
                <w:sz w:val="21"/>
              </w:rPr>
              <w:t>受审核方名称</w:t>
            </w:r>
          </w:p>
        </w:tc>
        <w:tc>
          <w:tcPr>
            <w:tcW w:w="4416" w:type="dxa"/>
            <w:gridSpan w:val="6"/>
          </w:tcPr>
          <w:p>
            <w:pPr>
              <w:spacing w:line="260" w:lineRule="exact"/>
              <w:rPr>
                <w:rFonts w:ascii="宋体"/>
                <w:b w:val="0"/>
                <w:bCs/>
                <w:color w:val="FF0000"/>
                <w:sz w:val="21"/>
              </w:rPr>
            </w:pPr>
            <w:bookmarkStart w:id="11" w:name="组织名称Add"/>
            <w:r>
              <w:rPr>
                <w:rFonts w:ascii="宋体"/>
                <w:b w:val="0"/>
                <w:bCs/>
                <w:color w:val="FF0000"/>
                <w:sz w:val="21"/>
              </w:rPr>
              <w:t>甘肃旺达绿禾肥业有限责任公司</w:t>
            </w:r>
            <w:bookmarkEnd w:id="11"/>
          </w:p>
        </w:tc>
        <w:tc>
          <w:tcPr>
            <w:tcW w:w="1672" w:type="dxa"/>
            <w:gridSpan w:val="2"/>
            <w:vAlign w:val="center"/>
          </w:tcPr>
          <w:p>
            <w:pPr>
              <w:spacing w:line="260" w:lineRule="exact"/>
              <w:jc w:val="center"/>
              <w:rPr>
                <w:rFonts w:ascii="宋体"/>
                <w:b w:val="0"/>
                <w:bCs/>
                <w:sz w:val="21"/>
              </w:rPr>
            </w:pPr>
            <w:r>
              <w:rPr>
                <w:rFonts w:hint="eastAsia" w:ascii="宋体" w:hAnsi="宋体"/>
                <w:b w:val="0"/>
                <w:bCs/>
                <w:sz w:val="21"/>
              </w:rPr>
              <w:t>组织人数及</w:t>
            </w:r>
          </w:p>
          <w:p>
            <w:pPr>
              <w:spacing w:line="200" w:lineRule="exact"/>
              <w:rPr>
                <w:b w:val="0"/>
                <w:bCs/>
                <w:spacing w:val="-20"/>
              </w:rPr>
            </w:pPr>
            <w:r>
              <w:rPr>
                <w:rFonts w:hint="eastAsia" w:ascii="宋体" w:hAnsi="宋体"/>
                <w:b w:val="0"/>
                <w:bCs/>
                <w:sz w:val="21"/>
              </w:rPr>
              <w:t>变动情况核实</w:t>
            </w:r>
          </w:p>
        </w:tc>
        <w:tc>
          <w:tcPr>
            <w:tcW w:w="1500" w:type="dxa"/>
          </w:tcPr>
          <w:p>
            <w:pPr>
              <w:spacing w:line="260" w:lineRule="exact"/>
              <w:rPr>
                <w:rFonts w:ascii="宋体"/>
                <w:b w:val="0"/>
                <w:bCs/>
                <w:sz w:val="21"/>
              </w:rPr>
            </w:pPr>
            <w:r>
              <w:rPr>
                <w:b w:val="0"/>
                <w:bCs/>
                <w:color w:val="00000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val="0"/>
                <w:bCs/>
                <w:sz w:val="16"/>
                <w:szCs w:val="16"/>
              </w:rPr>
            </w:pPr>
            <w:r>
              <w:rPr>
                <w:rFonts w:hint="eastAsia" w:ascii="宋体" w:hAnsi="宋体"/>
                <w:b w:val="0"/>
                <w:bCs/>
                <w:sz w:val="21"/>
                <w:szCs w:val="21"/>
              </w:rPr>
              <w:t>注册地址</w:t>
            </w:r>
          </w:p>
        </w:tc>
        <w:tc>
          <w:tcPr>
            <w:tcW w:w="4416" w:type="dxa"/>
            <w:gridSpan w:val="6"/>
          </w:tcPr>
          <w:p>
            <w:pPr>
              <w:rPr>
                <w:rFonts w:ascii="宋体"/>
                <w:b w:val="0"/>
                <w:bCs/>
                <w:sz w:val="21"/>
              </w:rPr>
            </w:pPr>
            <w:bookmarkStart w:id="12" w:name="注册地址"/>
            <w:r>
              <w:rPr>
                <w:rFonts w:ascii="宋体"/>
                <w:b w:val="0"/>
                <w:bCs/>
                <w:sz w:val="21"/>
              </w:rPr>
              <w:t>甘肃省张掖市高台县南华镇高台工业园区</w:t>
            </w:r>
            <w:bookmarkEnd w:id="12"/>
          </w:p>
        </w:tc>
        <w:tc>
          <w:tcPr>
            <w:tcW w:w="1672" w:type="dxa"/>
            <w:gridSpan w:val="2"/>
            <w:vMerge w:val="restart"/>
            <w:vAlign w:val="center"/>
          </w:tcPr>
          <w:p>
            <w:pPr>
              <w:jc w:val="center"/>
              <w:rPr>
                <w:rFonts w:ascii="宋体"/>
                <w:b w:val="0"/>
                <w:bCs/>
                <w:sz w:val="21"/>
              </w:rPr>
            </w:pPr>
            <w:r>
              <w:rPr>
                <w:rFonts w:hint="eastAsia" w:ascii="宋体" w:hAnsi="宋体"/>
                <w:b w:val="0"/>
                <w:bCs/>
                <w:sz w:val="21"/>
              </w:rPr>
              <w:t>邮编</w:t>
            </w:r>
          </w:p>
        </w:tc>
        <w:tc>
          <w:tcPr>
            <w:tcW w:w="1500" w:type="dxa"/>
          </w:tcPr>
          <w:p>
            <w:pPr>
              <w:rPr>
                <w:rFonts w:ascii="宋体"/>
                <w:b w:val="0"/>
                <w:bCs/>
                <w:sz w:val="21"/>
              </w:rPr>
            </w:pPr>
            <w:bookmarkStart w:id="13" w:name="注册邮编"/>
            <w:r>
              <w:rPr>
                <w:rFonts w:ascii="宋体"/>
                <w:b w:val="0"/>
                <w:bCs/>
                <w:sz w:val="21"/>
              </w:rPr>
              <w:t>734312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val="0"/>
                <w:bCs/>
                <w:sz w:val="21"/>
                <w:szCs w:val="21"/>
              </w:rPr>
            </w:pPr>
            <w:r>
              <w:rPr>
                <w:rFonts w:hint="eastAsia" w:ascii="宋体" w:hAnsi="宋体"/>
                <w:b w:val="0"/>
                <w:bCs/>
                <w:sz w:val="21"/>
                <w:szCs w:val="21"/>
              </w:rPr>
              <w:t>经营地址</w:t>
            </w:r>
          </w:p>
        </w:tc>
        <w:tc>
          <w:tcPr>
            <w:tcW w:w="4416" w:type="dxa"/>
            <w:gridSpan w:val="6"/>
          </w:tcPr>
          <w:p>
            <w:pPr>
              <w:rPr>
                <w:rFonts w:ascii="宋体"/>
                <w:b w:val="0"/>
                <w:bCs/>
                <w:sz w:val="21"/>
              </w:rPr>
            </w:pPr>
            <w:bookmarkStart w:id="14" w:name="办公地址"/>
            <w:r>
              <w:rPr>
                <w:rFonts w:ascii="宋体"/>
                <w:b w:val="0"/>
                <w:bCs/>
                <w:sz w:val="21"/>
              </w:rPr>
              <w:t>甘肃省张掖市高台县南华镇高台工业园区</w:t>
            </w:r>
            <w:bookmarkEnd w:id="14"/>
          </w:p>
        </w:tc>
        <w:tc>
          <w:tcPr>
            <w:tcW w:w="1672" w:type="dxa"/>
            <w:gridSpan w:val="2"/>
            <w:vMerge w:val="continue"/>
            <w:vAlign w:val="center"/>
          </w:tcPr>
          <w:p>
            <w:pPr>
              <w:jc w:val="center"/>
              <w:rPr>
                <w:rFonts w:ascii="宋体"/>
                <w:b w:val="0"/>
                <w:bCs/>
                <w:sz w:val="21"/>
              </w:rPr>
            </w:pPr>
          </w:p>
        </w:tc>
        <w:tc>
          <w:tcPr>
            <w:tcW w:w="1500" w:type="dxa"/>
          </w:tcPr>
          <w:p>
            <w:pPr>
              <w:rPr>
                <w:rFonts w:ascii="宋体"/>
                <w:b w:val="0"/>
                <w:bCs/>
                <w:sz w:val="21"/>
              </w:rPr>
            </w:pPr>
            <w:bookmarkStart w:id="15" w:name="办公邮编"/>
            <w:r>
              <w:rPr>
                <w:rFonts w:ascii="宋体"/>
                <w:b w:val="0"/>
                <w:bCs/>
                <w:sz w:val="21"/>
              </w:rPr>
              <w:t>734300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val="0"/>
                <w:bCs/>
                <w:color w:val="000000"/>
                <w:sz w:val="21"/>
                <w:szCs w:val="21"/>
              </w:rPr>
            </w:pPr>
            <w:r>
              <w:rPr>
                <w:rFonts w:hint="eastAsia" w:ascii="宋体" w:hAnsi="宋体"/>
                <w:b w:val="0"/>
                <w:bCs/>
                <w:color w:val="000000"/>
                <w:sz w:val="21"/>
                <w:szCs w:val="21"/>
              </w:rPr>
              <w:t>生产地址</w:t>
            </w:r>
          </w:p>
        </w:tc>
        <w:tc>
          <w:tcPr>
            <w:tcW w:w="4416" w:type="dxa"/>
            <w:gridSpan w:val="6"/>
          </w:tcPr>
          <w:p>
            <w:pPr>
              <w:rPr>
                <w:rFonts w:ascii="宋体"/>
                <w:b w:val="0"/>
                <w:bCs/>
                <w:sz w:val="21"/>
              </w:rPr>
            </w:pPr>
            <w:bookmarkStart w:id="16" w:name="生产地址Add"/>
            <w:r>
              <w:rPr>
                <w:rFonts w:ascii="宋体"/>
                <w:b w:val="0"/>
                <w:bCs/>
                <w:sz w:val="21"/>
              </w:rPr>
              <w:t>甘肃省张掖市高台县南华镇高台工业园区</w:t>
            </w:r>
            <w:bookmarkEnd w:id="16"/>
          </w:p>
        </w:tc>
        <w:tc>
          <w:tcPr>
            <w:tcW w:w="1672" w:type="dxa"/>
            <w:gridSpan w:val="2"/>
            <w:vMerge w:val="continue"/>
            <w:vAlign w:val="center"/>
          </w:tcPr>
          <w:p>
            <w:pPr>
              <w:jc w:val="center"/>
              <w:rPr>
                <w:rFonts w:ascii="宋体"/>
                <w:b w:val="0"/>
                <w:bCs/>
                <w:sz w:val="21"/>
              </w:rPr>
            </w:pPr>
          </w:p>
        </w:tc>
        <w:tc>
          <w:tcPr>
            <w:tcW w:w="1500" w:type="dxa"/>
          </w:tcPr>
          <w:p>
            <w:pPr>
              <w:rPr>
                <w:rFonts w:ascii="宋体"/>
                <w:b w:val="0"/>
                <w:bCs/>
                <w:sz w:val="21"/>
              </w:rPr>
            </w:pPr>
            <w:bookmarkStart w:id="17" w:name="生产邮编"/>
            <w:r>
              <w:rPr>
                <w:rFonts w:ascii="宋体"/>
                <w:b w:val="0"/>
                <w:bCs/>
                <w:sz w:val="21"/>
              </w:rPr>
              <w:t>734300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val="0"/>
                <w:bCs/>
                <w:sz w:val="21"/>
              </w:rPr>
            </w:pPr>
            <w:r>
              <w:rPr>
                <w:rFonts w:hint="eastAsia" w:ascii="宋体" w:hAnsi="宋体"/>
                <w:b w:val="0"/>
                <w:bCs/>
                <w:sz w:val="21"/>
              </w:rPr>
              <w:t>联系人</w:t>
            </w:r>
          </w:p>
        </w:tc>
        <w:tc>
          <w:tcPr>
            <w:tcW w:w="1689" w:type="dxa"/>
          </w:tcPr>
          <w:p>
            <w:pPr>
              <w:rPr>
                <w:rFonts w:ascii="宋体"/>
                <w:b w:val="0"/>
                <w:bCs/>
                <w:sz w:val="21"/>
              </w:rPr>
            </w:pPr>
            <w:bookmarkStart w:id="18" w:name="联系人"/>
            <w:r>
              <w:rPr>
                <w:rFonts w:ascii="宋体"/>
                <w:b w:val="0"/>
                <w:bCs/>
                <w:sz w:val="21"/>
              </w:rPr>
              <w:t>高维军</w:t>
            </w:r>
            <w:bookmarkEnd w:id="18"/>
          </w:p>
        </w:tc>
        <w:tc>
          <w:tcPr>
            <w:tcW w:w="1109" w:type="dxa"/>
            <w:gridSpan w:val="2"/>
            <w:vAlign w:val="center"/>
          </w:tcPr>
          <w:p>
            <w:pPr>
              <w:jc w:val="center"/>
              <w:rPr>
                <w:rFonts w:ascii="宋体"/>
                <w:b w:val="0"/>
                <w:bCs/>
                <w:sz w:val="21"/>
              </w:rPr>
            </w:pPr>
            <w:r>
              <w:rPr>
                <w:rFonts w:hint="eastAsia" w:ascii="宋体" w:hAnsi="宋体"/>
                <w:b w:val="0"/>
                <w:bCs/>
                <w:sz w:val="21"/>
              </w:rPr>
              <w:t>电话</w:t>
            </w:r>
            <w:r>
              <w:rPr>
                <w:b w:val="0"/>
                <w:bCs/>
                <w:sz w:val="16"/>
                <w:szCs w:val="16"/>
              </w:rPr>
              <w:t>.</w:t>
            </w:r>
          </w:p>
        </w:tc>
        <w:tc>
          <w:tcPr>
            <w:tcW w:w="1618" w:type="dxa"/>
            <w:gridSpan w:val="3"/>
            <w:vAlign w:val="center"/>
          </w:tcPr>
          <w:p>
            <w:pPr>
              <w:jc w:val="center"/>
              <w:rPr>
                <w:rFonts w:ascii="宋体"/>
                <w:b w:val="0"/>
                <w:bCs/>
                <w:sz w:val="21"/>
              </w:rPr>
            </w:pPr>
            <w:bookmarkStart w:id="19" w:name="联系人电话Add"/>
            <w:r>
              <w:rPr>
                <w:rFonts w:ascii="宋体"/>
                <w:b w:val="0"/>
                <w:bCs/>
                <w:sz w:val="21"/>
              </w:rPr>
              <w:t>18093664297</w:t>
            </w:r>
            <w:bookmarkEnd w:id="19"/>
          </w:p>
        </w:tc>
        <w:tc>
          <w:tcPr>
            <w:tcW w:w="1672" w:type="dxa"/>
            <w:gridSpan w:val="2"/>
            <w:vAlign w:val="center"/>
          </w:tcPr>
          <w:p>
            <w:pPr>
              <w:jc w:val="center"/>
              <w:rPr>
                <w:rFonts w:ascii="宋体"/>
                <w:b w:val="0"/>
                <w:bCs/>
                <w:sz w:val="21"/>
              </w:rPr>
            </w:pPr>
            <w:r>
              <w:rPr>
                <w:rFonts w:hint="eastAsia" w:ascii="宋体" w:hAnsi="宋体"/>
                <w:b w:val="0"/>
                <w:bCs/>
                <w:sz w:val="21"/>
              </w:rPr>
              <w:t>传真</w:t>
            </w:r>
          </w:p>
        </w:tc>
        <w:tc>
          <w:tcPr>
            <w:tcW w:w="1500" w:type="dxa"/>
          </w:tcPr>
          <w:p>
            <w:pPr>
              <w:rPr>
                <w:rFonts w:ascii="宋体"/>
                <w:b w:val="0"/>
                <w:bCs/>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val="0"/>
                <w:bCs/>
                <w:sz w:val="21"/>
                <w:szCs w:val="21"/>
              </w:rPr>
            </w:pPr>
            <w:r>
              <w:rPr>
                <w:rFonts w:hint="eastAsia" w:ascii="宋体" w:hAnsi="宋体"/>
                <w:b w:val="0"/>
                <w:bCs/>
                <w:sz w:val="21"/>
                <w:szCs w:val="21"/>
              </w:rPr>
              <w:t>法人代表</w:t>
            </w:r>
          </w:p>
        </w:tc>
        <w:tc>
          <w:tcPr>
            <w:tcW w:w="1689" w:type="dxa"/>
          </w:tcPr>
          <w:p>
            <w:pPr>
              <w:rPr>
                <w:rFonts w:ascii="宋体" w:hAnsi="宋体"/>
                <w:b w:val="0"/>
                <w:bCs/>
                <w:sz w:val="21"/>
                <w:szCs w:val="21"/>
              </w:rPr>
            </w:pPr>
            <w:bookmarkStart w:id="21" w:name="法人"/>
            <w:r>
              <w:rPr>
                <w:rFonts w:ascii="宋体" w:hAnsi="宋体"/>
                <w:b w:val="0"/>
                <w:bCs/>
                <w:sz w:val="21"/>
                <w:szCs w:val="21"/>
              </w:rPr>
              <w:t>孙兵</w:t>
            </w:r>
            <w:bookmarkEnd w:id="21"/>
          </w:p>
        </w:tc>
        <w:tc>
          <w:tcPr>
            <w:tcW w:w="1109" w:type="dxa"/>
            <w:gridSpan w:val="2"/>
            <w:vAlign w:val="center"/>
          </w:tcPr>
          <w:p>
            <w:pPr>
              <w:jc w:val="center"/>
              <w:rPr>
                <w:rFonts w:ascii="宋体" w:hAnsi="宋体"/>
                <w:b w:val="0"/>
                <w:bCs/>
                <w:sz w:val="21"/>
                <w:szCs w:val="21"/>
              </w:rPr>
            </w:pPr>
            <w:r>
              <w:rPr>
                <w:rFonts w:hint="eastAsia" w:ascii="宋体" w:hAnsi="宋体"/>
                <w:b w:val="0"/>
                <w:bCs/>
                <w:sz w:val="21"/>
                <w:szCs w:val="21"/>
              </w:rPr>
              <w:t>总经理</w:t>
            </w:r>
          </w:p>
        </w:tc>
        <w:tc>
          <w:tcPr>
            <w:tcW w:w="1618" w:type="dxa"/>
            <w:gridSpan w:val="3"/>
          </w:tcPr>
          <w:p>
            <w:pPr>
              <w:rPr>
                <w:rFonts w:ascii="宋体" w:hAnsi="宋体"/>
                <w:b w:val="0"/>
                <w:bCs/>
                <w:sz w:val="21"/>
                <w:szCs w:val="21"/>
              </w:rPr>
            </w:pPr>
          </w:p>
        </w:tc>
        <w:tc>
          <w:tcPr>
            <w:tcW w:w="1672" w:type="dxa"/>
            <w:gridSpan w:val="2"/>
            <w:vAlign w:val="center"/>
          </w:tcPr>
          <w:p>
            <w:pPr>
              <w:jc w:val="center"/>
              <w:rPr>
                <w:rFonts w:ascii="宋体" w:hAnsi="宋体"/>
                <w:b w:val="0"/>
                <w:bCs/>
                <w:sz w:val="21"/>
                <w:szCs w:val="21"/>
              </w:rPr>
            </w:pPr>
            <w:r>
              <w:rPr>
                <w:rFonts w:hint="eastAsia" w:ascii="宋体" w:hAnsi="宋体"/>
                <w:b w:val="0"/>
                <w:bCs/>
                <w:sz w:val="21"/>
                <w:szCs w:val="21"/>
              </w:rPr>
              <w:t>管理者代表</w:t>
            </w:r>
          </w:p>
        </w:tc>
        <w:tc>
          <w:tcPr>
            <w:tcW w:w="1500" w:type="dxa"/>
          </w:tcPr>
          <w:p>
            <w:pPr>
              <w:rPr>
                <w:rFonts w:ascii="宋体"/>
                <w:b w:val="0"/>
                <w:bCs/>
                <w:sz w:val="21"/>
              </w:rPr>
            </w:pPr>
            <w:bookmarkStart w:id="22" w:name="管理者代表"/>
            <w:r>
              <w:rPr>
                <w:rFonts w:ascii="宋体"/>
                <w:b w:val="0"/>
                <w:bCs/>
                <w:sz w:val="21"/>
              </w:rPr>
              <w:t>高维军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val="0"/>
                <w:bCs/>
                <w:sz w:val="21"/>
                <w:szCs w:val="21"/>
              </w:rPr>
            </w:pPr>
            <w:r>
              <w:rPr>
                <w:rFonts w:hint="eastAsia" w:ascii="宋体" w:hAnsi="宋体"/>
                <w:b w:val="0"/>
                <w:bCs/>
                <w:sz w:val="21"/>
                <w:szCs w:val="21"/>
              </w:rPr>
              <w:t>审核日期</w:t>
            </w:r>
          </w:p>
        </w:tc>
        <w:tc>
          <w:tcPr>
            <w:tcW w:w="2798" w:type="dxa"/>
            <w:gridSpan w:val="3"/>
            <w:vAlign w:val="center"/>
          </w:tcPr>
          <w:p>
            <w:pPr>
              <w:rPr>
                <w:rFonts w:ascii="宋体" w:hAnsi="宋体"/>
                <w:b w:val="0"/>
                <w:bCs/>
                <w:sz w:val="21"/>
                <w:szCs w:val="21"/>
              </w:rPr>
            </w:pPr>
            <w:bookmarkStart w:id="23" w:name="审核日期"/>
            <w:r>
              <w:rPr>
                <w:rFonts w:ascii="宋体" w:hAnsi="宋体"/>
                <w:b w:val="0"/>
                <w:bCs/>
                <w:sz w:val="21"/>
                <w:szCs w:val="21"/>
              </w:rPr>
              <w:t>2020年11月12日 上午至2020年11月17日 上午</w:t>
            </w:r>
            <w:bookmarkEnd w:id="23"/>
          </w:p>
        </w:tc>
        <w:tc>
          <w:tcPr>
            <w:tcW w:w="1609" w:type="dxa"/>
            <w:gridSpan w:val="2"/>
            <w:vAlign w:val="center"/>
          </w:tcPr>
          <w:p>
            <w:pPr>
              <w:rPr>
                <w:rFonts w:ascii="宋体" w:hAnsi="宋体"/>
                <w:b w:val="0"/>
                <w:bCs/>
                <w:sz w:val="21"/>
                <w:szCs w:val="21"/>
              </w:rPr>
            </w:pPr>
            <w:r>
              <w:rPr>
                <w:rFonts w:hint="eastAsia" w:ascii="宋体" w:hAnsi="宋体"/>
                <w:b w:val="0"/>
                <w:bCs/>
                <w:sz w:val="21"/>
                <w:szCs w:val="21"/>
              </w:rPr>
              <w:t>一体化审核</w:t>
            </w:r>
          </w:p>
        </w:tc>
        <w:tc>
          <w:tcPr>
            <w:tcW w:w="3181" w:type="dxa"/>
            <w:gridSpan w:val="4"/>
            <w:vAlign w:val="center"/>
          </w:tcPr>
          <w:p>
            <w:pPr>
              <w:rPr>
                <w:rFonts w:ascii="宋体" w:hAnsi="宋体"/>
                <w:b w:val="0"/>
                <w:bCs/>
                <w:sz w:val="21"/>
                <w:szCs w:val="21"/>
              </w:rPr>
            </w:pPr>
            <w:r>
              <w:rPr>
                <w:rFonts w:hint="eastAsia" w:ascii="宋体" w:hAnsi="宋体"/>
                <w:b w:val="0"/>
                <w:bCs/>
                <w:sz w:val="21"/>
                <w:szCs w:val="21"/>
                <w:lang w:eastAsia="zh-CN"/>
              </w:rPr>
              <w:t>☑</w:t>
            </w:r>
            <w:r>
              <w:rPr>
                <w:rFonts w:hint="eastAsia" w:ascii="宋体" w:hAnsi="宋体"/>
                <w:b w:val="0"/>
                <w:bCs/>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9"/>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rFonts w:hint="eastAsia" w:ascii="宋体" w:hAnsi="宋体"/>
                <w:sz w:val="21"/>
                <w:szCs w:val="21"/>
              </w:rPr>
              <w:t>资质范围内的掺混肥料、复混肥料、有机-无机复混肥料的制造与销售</w:t>
            </w:r>
          </w:p>
          <w:p>
            <w:pPr>
              <w:spacing w:line="360" w:lineRule="exact"/>
              <w:rPr>
                <w:rFonts w:hint="eastAsia" w:ascii="宋体" w:hAnsi="宋体"/>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资质范围内的掺混肥料、复混肥料、有机-无机复混肥料的制造与销售及相关环境管理活动。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资质范围内的掺混肥料、复混肥料、有机-无机复混肥料的制造与销售及相关职业健康安全管理活动。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9"/>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57" w:type="dxa"/>
            <w:gridSpan w:val="2"/>
          </w:tcPr>
          <w:p>
            <w:pPr>
              <w:spacing w:line="260" w:lineRule="exact"/>
              <w:rPr>
                <w:rFonts w:ascii="宋体" w:hAnsi="宋体"/>
                <w:b/>
                <w:sz w:val="21"/>
                <w:szCs w:val="21"/>
              </w:rPr>
            </w:pPr>
            <w:bookmarkStart w:id="27" w:name="专业代码"/>
            <w:r>
              <w:rPr>
                <w:rFonts w:ascii="宋体" w:hAnsi="宋体"/>
                <w:b/>
                <w:sz w:val="21"/>
                <w:szCs w:val="21"/>
              </w:rPr>
              <w:t>E：12.01.05;29.11.05</w:t>
            </w:r>
          </w:p>
          <w:p>
            <w:pPr>
              <w:spacing w:line="260" w:lineRule="exact"/>
              <w:rPr>
                <w:rFonts w:ascii="宋体" w:hAnsi="宋体"/>
                <w:b/>
                <w:sz w:val="21"/>
                <w:szCs w:val="21"/>
              </w:rPr>
            </w:pPr>
            <w:r>
              <w:rPr>
                <w:rFonts w:ascii="宋体" w:hAnsi="宋体"/>
                <w:b/>
                <w:sz w:val="21"/>
                <w:szCs w:val="21"/>
              </w:rPr>
              <w:t>O：12.01.05;29.11.05</w:t>
            </w:r>
          </w:p>
          <w:p>
            <w:pPr>
              <w:spacing w:line="260" w:lineRule="exact"/>
              <w:rPr>
                <w:rFonts w:ascii="宋体" w:hAnsi="宋体"/>
                <w:b/>
                <w:sz w:val="21"/>
                <w:szCs w:val="21"/>
              </w:rPr>
            </w:pPr>
            <w:r>
              <w:rPr>
                <w:rFonts w:ascii="宋体" w:hAnsi="宋体"/>
                <w:b/>
                <w:sz w:val="21"/>
                <w:szCs w:val="21"/>
              </w:rPr>
              <w:t>Q：12.01.05;29.11.05</w:t>
            </w:r>
            <w:bookmarkEnd w:id="27"/>
          </w:p>
        </w:tc>
        <w:tc>
          <w:tcPr>
            <w:tcW w:w="820"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40" w:type="dxa"/>
            <w:gridSpan w:val="3"/>
          </w:tcPr>
          <w:p>
            <w:pPr>
              <w:spacing w:line="260" w:lineRule="exact"/>
              <w:rPr>
                <w:rFonts w:ascii="宋体" w:hAnsi="宋体"/>
                <w:b/>
                <w:sz w:val="21"/>
                <w:szCs w:val="21"/>
              </w:rPr>
            </w:pPr>
          </w:p>
          <w:p>
            <w:pPr>
              <w:spacing w:line="260" w:lineRule="exact"/>
              <w:rPr>
                <w:rFonts w:ascii="宋体" w:hAnsi="宋体"/>
                <w:b/>
                <w:sz w:val="21"/>
                <w:szCs w:val="21"/>
              </w:rPr>
            </w:pPr>
            <w:r>
              <w:rPr>
                <w:rFonts w:ascii="宋体" w:hAnsi="宋体"/>
                <w:b/>
                <w:sz w:val="21"/>
                <w:szCs w:val="21"/>
              </w:rPr>
              <w:t>2022-07-17</w:t>
            </w:r>
          </w:p>
        </w:tc>
        <w:tc>
          <w:tcPr>
            <w:tcW w:w="127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ascii="宋体" w:hAnsi="宋体"/>
                <w:b/>
                <w:sz w:val="21"/>
                <w:szCs w:val="21"/>
              </w:rPr>
              <w:t>2019-06-15 -- 2019-06-20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val="0"/>
          <w:bCs/>
          <w:sz w:val="21"/>
          <w:szCs w:val="21"/>
          <w:lang w:val="en-US" w:eastAsia="zh-CN"/>
        </w:rPr>
        <w:t>复混肥、掺混肥、有机肥；</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hint="eastAsia"/>
                <w:sz w:val="18"/>
                <w:szCs w:val="18"/>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sz w:val="18"/>
                <w:szCs w:val="18"/>
              </w:rPr>
              <w:t>甘肃旺达绿禾肥业有限责任公司成立于2009年，坐落于甘肃省张掖市高台县南化工业园区，占地面积30亩，总资产5000万元。公司现有员工37人，年产各种肥料25万吨。公司拥有国内先进的肥料生产线及生产工艺，完善的物流配送体系，健全的信息网络系统。</w:t>
            </w:r>
          </w:p>
          <w:p>
            <w:pPr>
              <w:spacing w:line="240" w:lineRule="exact"/>
              <w:rPr>
                <w:rFonts w:hint="eastAsia" w:ascii="宋体" w:hAnsi="宋体" w:eastAsia="宋体"/>
                <w:b/>
                <w:sz w:val="21"/>
                <w:szCs w:val="21"/>
                <w:lang w:eastAsia="zh-CN"/>
              </w:rPr>
            </w:pPr>
            <w:r>
              <w:rPr>
                <w:rFonts w:hint="eastAsia"/>
                <w:sz w:val="18"/>
                <w:szCs w:val="18"/>
              </w:rPr>
              <w:t>公司拥有年产10万吨和5万吨复混肥生产线各一条，3万吨大颗粒氮肥、钾肥挤压造粒线一条，5万吨掺混肥生产线一条，2万吨大量元素全水溶肥料、氨基酸全水溶肥料生产线一条，3万吨有机肥、生物肥有机肥生产线。产品涵盖复合肥、有机肥、生物有机肥、大量元素全水溶肥料、脲甲醛缓/控释肥、掺混肥、氮肥、钾肥、氨基酸全水溶肥料等系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imes New Roman" w:hAnsi="Times New Roman" w:eastAsia="宋体" w:cs="Times New Roman"/>
                <w:sz w:val="18"/>
                <w:szCs w:val="18"/>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Times New Roman" w:hAnsi="Times New Roman" w:eastAsia="宋体" w:cs="Times New Roman"/>
                <w:sz w:val="18"/>
                <w:szCs w:val="18"/>
              </w:rPr>
              <w:t>公司相关方关注公司持续提供的产品和服务质量是否符合顾客要求，以及生产经营的合规情况。公司明确了影响企业绩效或受到企业经营影响的相关方包括公司的所有者、顾客、外部供方(如：原材料、包装材料、零部件供方)、合作伙伴(如：新产品合作开发方)、员工、政府监督部门、周围社区居民以及经许可进入公司工作场所的外来人员或社会等，通过调查、访谈了解上述相关方的要求。</w:t>
            </w:r>
          </w:p>
          <w:p>
            <w:pPr>
              <w:ind w:firstLine="360" w:firstLineChars="200"/>
              <w:rPr>
                <w:rFonts w:hint="eastAsia" w:ascii="宋体" w:hAnsi="宋体" w:eastAsia="宋体"/>
                <w:b/>
                <w:sz w:val="21"/>
                <w:szCs w:val="21"/>
                <w:lang w:eastAsia="zh-CN"/>
              </w:rPr>
            </w:pPr>
            <w:r>
              <w:rPr>
                <w:rFonts w:hint="eastAsia" w:ascii="Times New Roman" w:hAnsi="Times New Roman" w:eastAsia="宋体" w:cs="Times New Roman"/>
                <w:sz w:val="18"/>
                <w:szCs w:val="18"/>
              </w:rPr>
              <w:t>同时每年通过访谈、网站向社会告知企业联系方式和经营情况，持续与相关方沟通，了解相关方要求，对他们的要求进行评审，适用时确定为合规义务。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imes New Roman" w:hAnsi="Times New Roman" w:eastAsia="宋体" w:cs="Times New Roman"/>
                <w:sz w:val="18"/>
                <w:szCs w:val="18"/>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Times New Roman" w:hAnsi="Times New Roman" w:eastAsia="宋体" w:cs="Times New Roman"/>
                <w:sz w:val="18"/>
                <w:szCs w:val="18"/>
                <w:lang w:val="en-US" w:eastAsia="zh-CN"/>
              </w:rPr>
              <w:t>公司的</w:t>
            </w:r>
            <w:r>
              <w:rPr>
                <w:rFonts w:hint="eastAsia" w:ascii="Times New Roman" w:hAnsi="Times New Roman" w:eastAsia="宋体" w:cs="Times New Roman"/>
                <w:sz w:val="18"/>
                <w:szCs w:val="18"/>
              </w:rPr>
              <w:t>质量、环境、职业健康安全方针为：</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质量方针：科学管理，质量第一；顾客至上，持续改进。</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环境方针：在经营活动中遵守与环保相关的法律法规；通过技术创新、管理创新，持续改进，最大限度控制废弃物的生成和排放，降低资源和能源消耗，提高员工的环境意识和环境责任感。</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职业健康安全管理方针：我们始终如一地把员工的职业健康和安全放在第一位；遵守现行职业健康安全法规和公司接受的其它要求；贯彻“安全生产、预防为主、综合治理”的指导思想，持续改进，减少工伤事故的伤害及职业病的发生，杜绝死亡事故，努力创造良好、健康的工作环境，提高员工的职业健康安全意识。</w:t>
            </w:r>
          </w:p>
          <w:p>
            <w:pPr>
              <w:ind w:firstLine="360" w:firstLineChars="200"/>
              <w:rPr>
                <w:rFonts w:ascii="宋体" w:hAnsi="宋体"/>
                <w:b/>
                <w:sz w:val="21"/>
                <w:szCs w:val="21"/>
              </w:rPr>
            </w:pPr>
            <w:r>
              <w:rPr>
                <w:rFonts w:hint="eastAsia" w:ascii="Times New Roman" w:hAnsi="Times New Roman" w:eastAsia="宋体" w:cs="Times New Roman"/>
                <w:sz w:val="18"/>
                <w:szCs w:val="18"/>
                <w:lang w:val="en-US" w:eastAsia="zh-CN"/>
              </w:rPr>
              <w:t>公司的方针</w:t>
            </w:r>
            <w:r>
              <w:rPr>
                <w:rFonts w:hint="eastAsia" w:ascii="Times New Roman" w:hAnsi="Times New Roman" w:eastAsia="宋体" w:cs="Times New Roman"/>
                <w:sz w:val="18"/>
                <w:szCs w:val="18"/>
                <w:lang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imes New Roman" w:hAnsi="Times New Roman" w:eastAsia="宋体" w:cs="Times New Roman"/>
                <w:sz w:val="18"/>
                <w:szCs w:val="18"/>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制定了《风险和机遇的应对控制程序》，明确风险和机遇事件的识别方法/途径、风险和机遇事件的评估方式、制定主要风险和机遇事件的应对措施的要求、评价这些措施有效性的方法。</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ind w:firstLine="360" w:firstLineChars="200"/>
              <w:rPr>
                <w:rFonts w:hint="eastAsia" w:ascii="宋体" w:hAnsi="宋体" w:eastAsia="宋体"/>
                <w:b/>
                <w:sz w:val="21"/>
                <w:szCs w:val="21"/>
                <w:lang w:eastAsia="zh-CN"/>
              </w:rPr>
            </w:pPr>
            <w:r>
              <w:rPr>
                <w:rFonts w:hint="eastAsia" w:ascii="Times New Roman" w:hAnsi="Times New Roman" w:eastAsia="宋体" w:cs="Times New Roman"/>
                <w:sz w:val="18"/>
                <w:szCs w:val="18"/>
                <w:lang w:val="en-US" w:eastAsia="zh-CN"/>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管理体系过程有：人力资源、基础设施、文件、机构、职责、物业服务的要求、外部提供的产品和服务、产品放行、不合格输出控制、绩效评价、改进等。</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生产过程有：复混肥的生产过程：生产工艺流程：（尿素、过磷酸钙、粉状一铵、氯化钾、氯化铵、辅助材料）</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按配方分别计量</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搅拌均匀</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造粒机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烘干机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冷却机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高筛</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包装。</w:t>
            </w:r>
          </w:p>
          <w:p>
            <w:pPr>
              <w:ind w:firstLine="360" w:firstLineChars="20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掺混肥的生产过程：（尿素、二胺、颗粒钾肥、颗粒磷肥、其他材料）</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按配方分别计量</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搅拌均匀</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储料斗</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计量包装</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入库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化学分析</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合格</w:t>
            </w:r>
          </w:p>
          <w:p>
            <w:pPr>
              <w:ind w:firstLine="360" w:firstLineChars="20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有机肥的生产过程：（羊粪、菌种）</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发酵</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（烘干粉碎、过磷酸钾、氯化铵、黄腐酸钾、黏土、辅助材料）</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按配方分别计量</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搅拌均匀</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造粒机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烘干机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冷却机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高筛</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包装</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其中关键过程有   配比搅拌过程</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需要确认过程    无</w:t>
            </w:r>
          </w:p>
          <w:p>
            <w:pPr>
              <w:ind w:firstLine="360" w:firstLineChars="200"/>
              <w:rPr>
                <w:rFonts w:ascii="宋体" w:hAnsi="宋体"/>
                <w:b/>
                <w:sz w:val="21"/>
                <w:szCs w:val="21"/>
              </w:rPr>
            </w:pPr>
            <w:r>
              <w:rPr>
                <w:rFonts w:hint="eastAsia" w:ascii="Times New Roman" w:hAnsi="Times New Roman" w:eastAsia="宋体" w:cs="Times New Roman"/>
                <w:sz w:val="18"/>
                <w:szCs w:val="18"/>
                <w:lang w:val="en-US" w:eastAsia="zh-CN"/>
              </w:rPr>
              <w:pict>
                <v:shape id="_x0000_s2052" o:spid="_x0000_s2052"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Times New Roman" w:hAnsi="Times New Roman" w:eastAsia="宋体" w:cs="Times New Roman"/>
                <w:sz w:val="18"/>
                <w:szCs w:val="18"/>
                <w:lang w:val="en-US" w:eastAsia="zh-CN"/>
              </w:rPr>
              <w:t>不适用条款是 8.3 ，不适用理由：按国标进行生产，模式成熟，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ind w:firstLine="360" w:firstLineChars="200"/>
              <w:rPr>
                <w:rFonts w:ascii="宋体" w:hAnsi="宋体"/>
                <w:b/>
                <w:sz w:val="21"/>
                <w:szCs w:val="21"/>
              </w:rPr>
            </w:pPr>
            <w:r>
              <w:rPr>
                <w:rFonts w:hint="eastAsia" w:ascii="Times New Roman" w:hAnsi="Times New Roman" w:eastAsia="宋体" w:cs="Times New Roman"/>
                <w:sz w:val="18"/>
                <w:szCs w:val="18"/>
                <w:lang w:val="en-US" w:eastAsia="zh-CN"/>
              </w:rPr>
              <w:t>根据公司生产经营性质，识别了各部门和场所的环境因素，并对环境因素进行了评价，评价出了重要环境因素（1.粉尘、）、2.能源消耗（电能、机油消耗等） 3.噪声排放（设备运转等）、4.火灾爆炸（配电室运行等）)，识别基本齐全，评价合理。基本了解评价动态变更的及时性。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r>
              <w:rPr>
                <w:rFonts w:hint="eastAsia" w:ascii="Times New Roman" w:hAnsi="Times New Roman" w:eastAsia="宋体" w:cs="Times New Roman"/>
                <w:sz w:val="18"/>
                <w:szCs w:val="18"/>
                <w:lang w:val="en-US" w:eastAsia="zh-CN"/>
              </w:rPr>
              <w:t>根据组织经营性质，识别了各部门和场所的危险源，并对危险源进行了评价，评价出不可接受风险（1.机械伤害（维修作业、设备运转碰伤、挂伤等）、2.触电伤害 （检修、设备运行等）、3.高处坠落（高处作业）、4.职业病伤害（尘肺、噪声伤害）、5.火灾爆炸（配电室运行等）），识别基本齐全，评价合理。基本了解评价动态变更的及时性。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5"/>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5"/>
              <w:numPr>
                <w:ilvl w:val="0"/>
                <w:numId w:val="0"/>
              </w:numPr>
              <w:tabs>
                <w:tab w:val="left" w:pos="540"/>
              </w:tabs>
              <w:spacing w:line="300" w:lineRule="exact"/>
              <w:rPr>
                <w:rFonts w:ascii="宋体" w:hAnsi="宋体"/>
                <w:b/>
                <w:szCs w:val="21"/>
              </w:rPr>
            </w:pPr>
            <w:r>
              <w:rPr>
                <w:rFonts w:hint="eastAsia" w:ascii="宋体" w:hAnsi="宋体"/>
                <w:b/>
                <w:szCs w:val="21"/>
                <w:lang w:eastAsia="zh-CN"/>
              </w:rPr>
              <w:t>（</w:t>
            </w:r>
            <w:r>
              <w:rPr>
                <w:rFonts w:hint="eastAsia" w:ascii="宋体" w:hAnsi="宋体"/>
                <w:b/>
                <w:szCs w:val="21"/>
                <w:lang w:val="en-US" w:eastAsia="zh-CN"/>
              </w:rPr>
              <w:t>4）</w:t>
            </w: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在公司各职能和层次上建立了质量、环境和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公司按照制定的文件和记录控制相关程序，对管理体系有关的文件、记录等成文信息进行有效控制，在使用处均有文件的有效版本。公司文件为手册、程序文件、作业文件三层。</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ascii="Times New Roman" w:hAnsi="Times New Roman" w:eastAsia="宋体" w:cs="Times New Roman"/>
                <w:sz w:val="18"/>
                <w:szCs w:val="18"/>
                <w:lang w:val="en-US" w:eastAsia="zh-CN"/>
              </w:rPr>
              <w:t>该公司员工34人，管理人员7人。电工、电焊工、化验员等持证上岗。生产人员进行三级安全教育，人力资源满足要求。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Times New Roman" w:hAnsi="Times New Roman" w:eastAsia="宋体" w:cs="Times New Roman"/>
                <w:sz w:val="18"/>
                <w:szCs w:val="18"/>
                <w:lang w:val="en-US" w:eastAsia="zh-CN"/>
              </w:rPr>
            </w:pPr>
            <w:r>
              <w:rPr>
                <w:rFonts w:hint="eastAsia" w:ascii="宋体" w:hAnsi="宋体"/>
                <w:b/>
                <w:sz w:val="21"/>
                <w:szCs w:val="21"/>
              </w:rPr>
              <w:t>设备设施（包括信息系统）、</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公司拥有年产10万吨和5万吨复混肥生产线各一条，3万吨大颗粒氮肥、钾肥挤压造粒线一条，5万吨掺混肥生产线一条，2万吨大量元素全水溶肥料、氨基酸全水溶肥料生产线一条，3万吨有机肥、生物肥有机肥生产线。</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生产复混肥料的设备有：粉碎机、搅拌机、转鼓造粒机、回转烘干机、冷却机、滚筒筛分机、自动包装机、旋转除尘器、引风机、输送机、自动生产稳压机；</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生产掺混肥料的设备有：滚筒筛分机、搅拌机、掺混筒、缝包机、磅秤、皮带机等；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生产有机肥料的生产设备有：粉碎机、搅拌机、转鼓造粒机、回转烘干机、冷却剂、滚筒筛分机、自动包装机、旋风除尘器、引风机、输送机等。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还有办公用桌椅、文件柜、电脑、打印机、汽车等。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公司的基础设施满足要求。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Times New Roman" w:hAnsi="Times New Roman" w:eastAsia="宋体" w:cs="Times New Roman"/>
                <w:sz w:val="18"/>
                <w:szCs w:val="18"/>
                <w:lang w:val="en-US"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1.车间内有：微机配料控制系统、搅浑机、转鼓造粒机、回转烘干机、冷却机、滚筒筛分机、自动包装机、旋转除尘器、引风机、输送机、自动生产稳压机等等，设备布局合理，状态良好，设备附近粘贴有设备安全操作规程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2.生产车间环境干净、整洁，基本满足生产洁净空间的需要。</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3.成品库房，产品放置整齐、规范、稳固。</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4.查1个生产车间布局合理，各类生产设备设施布置合理、物资摆放整齐，照明、采光符合生产要求，均配备了有效、足够数量的灭火器。</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5.查办公区各场所地面整洁、墙壁干净能满足工作需要。</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生产环境安装除尘器、送风机、刮板输送机等尘设备。</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公司的监视和测量设备有：真空干燥箱、电热恒温鼓风干燥箱、电子天平、酸度计、自动包装机等；校检日期为：2020年4月1日。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知识</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公司确定运行过程所需的知识，主要是肥料生产、化验、试验的知识，以及内部来源包括公司运作准则（管理制度、工作记录等）、专业技术应用、生产过程管理等。外部来源包括外来资料、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eastAsia="宋体" w:cs="Times New Roman"/>
                <w:b w:val="0"/>
                <w:bCs/>
                <w:color w:val="000000" w:themeColor="text1"/>
                <w:sz w:val="20"/>
                <w:szCs w:val="20"/>
                <w:lang w:val="en-US" w:eastAsia="zh-CN"/>
              </w:rPr>
              <w:t>袋式</w:t>
            </w:r>
            <w:r>
              <w:rPr>
                <w:rFonts w:hint="eastAsia" w:ascii="宋体" w:hAnsi="宋体" w:eastAsia="宋体" w:cs="Times New Roman"/>
                <w:b w:val="0"/>
                <w:bCs/>
                <w:color w:val="000000" w:themeColor="text1"/>
                <w:sz w:val="20"/>
                <w:szCs w:val="20"/>
              </w:rPr>
              <w:t>除尘</w:t>
            </w:r>
            <w:r>
              <w:rPr>
                <w:rFonts w:hint="eastAsia" w:ascii="宋体" w:hAnsi="宋体"/>
                <w:b w:val="0"/>
                <w:bCs/>
                <w:color w:val="000000" w:themeColor="text1"/>
                <w:sz w:val="20"/>
                <w:szCs w:val="20"/>
              </w:rPr>
              <w:t>器、送风机、刮板输送机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Times New Roman" w:hAnsi="Times New Roman" w:eastAsia="宋体" w:cs="Times New Roman"/>
                <w:sz w:val="18"/>
                <w:szCs w:val="18"/>
                <w:lang w:val="en-US" w:eastAsia="zh-CN"/>
              </w:rPr>
              <w:t>干粉灭火器、工作服、安全帽、耳塞、消防设备设施，满足要求。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ind w:firstLine="422" w:firstLineChars="200"/>
              <w:rPr>
                <w:rFonts w:hint="eastAsia" w:ascii="Times New Roman" w:hAnsi="Times New Roman" w:eastAsia="宋体" w:cs="Times New Roman"/>
                <w:sz w:val="18"/>
                <w:szCs w:val="18"/>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Times New Roman" w:hAnsi="Times New Roman" w:eastAsia="宋体" w:cs="Times New Roman"/>
                <w:sz w:val="18"/>
                <w:szCs w:val="18"/>
                <w:lang w:val="en-US" w:eastAsia="zh-CN"/>
              </w:rPr>
              <w:t>公司的</w:t>
            </w:r>
            <w:r>
              <w:rPr>
                <w:rFonts w:hint="eastAsia" w:ascii="Times New Roman" w:hAnsi="Times New Roman" w:eastAsia="宋体" w:cs="Times New Roman"/>
                <w:sz w:val="18"/>
                <w:szCs w:val="18"/>
              </w:rPr>
              <w:t>质量、环境、职业健康安全方针为：</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质量方针：科学管理，质量第一；顾客至上，持续改进。</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环境方针：在经营活动中遵守与环保相关的法律法规；通过技术创新、管理创新，持续改进，最大限度控制废弃物的生成和排放，降低资源和能源消耗，提高员工的环境意识和环境责任感。</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职业健康安全管理方针：我们始终如一地把员工的职业健康和安全放在第一位；遵守现行职业健康安全法规和公司接受的其它要求；贯彻“安全生产、预防为主、综合治理”的指导思想，持续改进，减少工伤事故的伤害及职业病的发生，杜绝死亡事故，努力创造良好、健康的工作环境，提高员工的职业健康安全意识。</w:t>
            </w:r>
          </w:p>
          <w:p>
            <w:pPr>
              <w:spacing w:line="300" w:lineRule="exact"/>
              <w:ind w:left="1"/>
              <w:rPr>
                <w:rFonts w:hint="default" w:ascii="宋体" w:hAnsi="宋体"/>
                <w:b/>
                <w:sz w:val="21"/>
                <w:szCs w:val="21"/>
                <w:lang w:val="en-US"/>
              </w:rPr>
            </w:pPr>
            <w:r>
              <w:rPr>
                <w:rFonts w:hint="eastAsia" w:ascii="Times New Roman" w:hAnsi="Times New Roman" w:eastAsia="宋体" w:cs="Times New Roman"/>
                <w:sz w:val="18"/>
                <w:szCs w:val="18"/>
                <w:lang w:val="en-US" w:eastAsia="zh-CN"/>
              </w:rPr>
              <w:t>在管理评审中有对方针进行评审的记录，方针适宜。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内部沟通的情况：内部沟通方式：</w:t>
            </w:r>
            <w:r>
              <w:rPr>
                <w:rFonts w:hint="eastAsia" w:ascii="Times New Roman" w:hAnsi="Times New Roman" w:eastAsia="宋体" w:cs="Times New Roman"/>
                <w:sz w:val="18"/>
                <w:szCs w:val="18"/>
                <w:lang w:val="en-US" w:eastAsia="zh-CN"/>
              </w:rPr>
              <w:t>会议、公告栏、发放文件、网络等</w:t>
            </w:r>
          </w:p>
          <w:p>
            <w:pPr>
              <w:spacing w:line="240" w:lineRule="exact"/>
              <w:rPr>
                <w:rFonts w:ascii="宋体" w:hAnsi="宋体"/>
                <w:b/>
                <w:sz w:val="21"/>
                <w:szCs w:val="21"/>
              </w:rPr>
            </w:pPr>
            <w:r>
              <w:rPr>
                <w:rFonts w:hint="eastAsia" w:ascii="宋体" w:hAnsi="宋体"/>
                <w:b/>
                <w:sz w:val="21"/>
                <w:szCs w:val="21"/>
              </w:rPr>
              <w:t>内部沟通的效果：</w:t>
            </w:r>
            <w:r>
              <w:rPr>
                <w:rFonts w:hint="eastAsia" w:ascii="Times New Roman" w:hAnsi="Times New Roman" w:eastAsia="宋体" w:cs="Times New Roman"/>
                <w:sz w:val="18"/>
                <w:szCs w:val="18"/>
                <w:lang w:val="en-US" w:eastAsia="zh-CN"/>
              </w:rPr>
              <w:t>能够得到有效沟通</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Times New Roman" w:hAnsi="Times New Roman" w:eastAsia="宋体" w:cs="Times New Roman"/>
                <w:sz w:val="18"/>
                <w:szCs w:val="18"/>
                <w:lang w:val="en-US" w:eastAsia="zh-CN"/>
              </w:rPr>
              <w:t>顾客满意度调查表的发放、电话回访、到顾客现场进行询问等形式</w:t>
            </w:r>
          </w:p>
          <w:p>
            <w:pPr>
              <w:spacing w:line="240" w:lineRule="exact"/>
              <w:rPr>
                <w:rFonts w:hint="eastAsia" w:ascii="Times New Roman" w:hAnsi="Times New Roman" w:eastAsia="宋体" w:cs="Times New Roman"/>
                <w:sz w:val="18"/>
                <w:szCs w:val="18"/>
                <w:lang w:val="en-US" w:eastAsia="zh-CN"/>
              </w:rPr>
            </w:pPr>
          </w:p>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Times New Roman" w:hAnsi="Times New Roman" w:eastAsia="宋体" w:cs="Times New Roman"/>
                <w:sz w:val="18"/>
                <w:szCs w:val="18"/>
                <w:lang w:val="en-US" w:eastAsia="zh-CN"/>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Times New Roman" w:hAnsi="Times New Roman" w:eastAsia="宋体" w:cs="Times New Roman"/>
                <w:sz w:val="18"/>
                <w:szCs w:val="18"/>
                <w:lang w:val="en-US" w:eastAsia="zh-CN"/>
              </w:rPr>
              <w:t>对相关方进行了书面告知。</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18"/>
                <w:szCs w:val="18"/>
                <w:lang w:val="en-US" w:eastAsia="zh-CN"/>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Times New Roman" w:hAnsi="Times New Roman" w:eastAsia="宋体" w:cs="Times New Roman"/>
                <w:sz w:val="18"/>
                <w:szCs w:val="18"/>
                <w:lang w:val="en-US" w:eastAsia="zh-CN"/>
              </w:rPr>
              <w:t>参与了管理体系文件的制定，每年召开一次员工代表会议。</w:t>
            </w:r>
          </w:p>
          <w:p>
            <w:pPr>
              <w:spacing w:line="240" w:lineRule="exact"/>
              <w:rPr>
                <w:rFonts w:hint="eastAsia" w:ascii="Times New Roman" w:hAnsi="Times New Roman" w:eastAsia="宋体" w:cs="Times New Roman"/>
                <w:sz w:val="18"/>
                <w:szCs w:val="18"/>
                <w:lang w:val="en-US" w:eastAsia="zh-CN"/>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Times New Roman" w:hAnsi="Times New Roman" w:eastAsia="宋体" w:cs="Times New Roman"/>
                <w:sz w:val="18"/>
                <w:szCs w:val="18"/>
                <w:lang w:val="en-US" w:eastAsia="zh-CN"/>
              </w:rPr>
              <w:t>对相关方进行了书面告知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公司识别关键过程：配备搅拌过程，需要确认的过程：无，对其过程进行了重点有效控制，控制有</w:t>
            </w:r>
            <w:r>
              <w:rPr>
                <w:rFonts w:hint="eastAsia"/>
                <w:b w:val="0"/>
                <w:bCs/>
                <w:color w:val="000000" w:themeColor="text1"/>
                <w:sz w:val="20"/>
                <w:szCs w:val="20"/>
              </w:rPr>
              <w:t>效</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jc w:val="center"/>
        </w:trPr>
        <w:tc>
          <w:tcPr>
            <w:tcW w:w="720" w:type="dxa"/>
            <w:vMerge w:val="continue"/>
            <w:vAlign w:val="center"/>
          </w:tcPr>
          <w:p>
            <w:pPr>
              <w:spacing w:line="240" w:lineRule="exact"/>
              <w:jc w:val="center"/>
              <w:rPr>
                <w:b/>
                <w:szCs w:val="21"/>
              </w:rPr>
            </w:pPr>
          </w:p>
        </w:tc>
        <w:tc>
          <w:tcPr>
            <w:tcW w:w="9198" w:type="dxa"/>
          </w:tcPr>
          <w:p>
            <w:pPr>
              <w:rPr>
                <w:rFonts w:hint="eastAsia" w:ascii="宋体" w:hAnsi="宋体"/>
                <w:b/>
                <w:sz w:val="21"/>
                <w:szCs w:val="21"/>
                <w:lang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ind w:firstLine="360" w:firstLineChars="20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2020年3月23日张掖市市场监督管理局对公司的产品进行监督抽查，检查结果为合格。（具体见扫描件）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b/>
                <w:sz w:val="21"/>
                <w:szCs w:val="21"/>
                <w:lang w:val="en-US"/>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rFonts w:hint="eastAsia" w:ascii="Times New Roman" w:hAnsi="Times New Roman" w:eastAsia="宋体" w:cs="Times New Roman"/>
                <w:sz w:val="18"/>
                <w:szCs w:val="18"/>
                <w:lang w:val="en-US" w:eastAsia="zh-CN"/>
              </w:rPr>
              <w:t>能对发现的不符合项及时进行纠正和控制，对在内审和外审发现不符合项进行纠正和分析，并采取纠正措施，纠正措施有效，对平时发现不合格进行返工处理。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重要环境因素：1.粉尘、噪声排放（料堆、送料、肥料制作运行等）</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2.能源消耗（电能、机油消耗等） </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3.噪声排放（设备运转等）</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4.火灾爆炸（配电室运行等）；</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控制措施：《消防安全控制程序》、《危险化学品管理程序》、《环境运行控制程序》、《节能降耗控制程序》等及目标指标和管理方案，火灾应急预案等。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Times New Roman" w:hAnsi="Times New Roman" w:eastAsia="宋体" w:cs="Times New Roman"/>
                <w:sz w:val="18"/>
                <w:szCs w:val="18"/>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对不可接受危险源进行了识别：1.机械伤害（维修作业、设备运转碰伤、挂伤等）、2.触电伤害 （检修、设备运行等）    、3.高处坠落（高处作业）、4.职业病伤害（尘肺、噪声伤害）、5.火灾爆炸（配电室运行等）</w:t>
            </w:r>
          </w:p>
          <w:p>
            <w:pPr>
              <w:spacing w:line="240" w:lineRule="exact"/>
              <w:rPr>
                <w:rFonts w:hint="eastAsia" w:ascii="宋体" w:hAnsi="宋体" w:eastAsia="宋体"/>
                <w:b/>
                <w:sz w:val="21"/>
                <w:szCs w:val="21"/>
                <w:lang w:eastAsia="zh-CN"/>
              </w:rPr>
            </w:pPr>
            <w:r>
              <w:rPr>
                <w:rFonts w:hint="eastAsia" w:ascii="Times New Roman" w:hAnsi="Times New Roman" w:eastAsia="宋体" w:cs="Times New Roman"/>
                <w:sz w:val="18"/>
                <w:szCs w:val="18"/>
                <w:lang w:val="en-US" w:eastAsia="zh-CN"/>
              </w:rPr>
              <w:t>控制措施：《危险源辨识和风险评价控制程序》、《职业健康控制程序》、《安全工作管理程序》、《劳动保护用品管理程序》等及目标指标和管理方案，火灾、触电应急预案等。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对火灾突发事件等制定了应急预案，提供了火灾、触电“应急预案演练记录”，对演练效果进行评价。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生产车间使用的1台生物质蒸汽锅炉和2台3吨叉车未能提供定期检定的证据。</w:t>
            </w:r>
          </w:p>
          <w:p>
            <w:pPr>
              <w:spacing w:line="240" w:lineRule="exact"/>
              <w:rPr>
                <w:rFonts w:hint="eastAsia" w:ascii="宋体" w:hAnsi="宋体" w:eastAsia="宋体"/>
                <w:b/>
                <w:sz w:val="21"/>
                <w:szCs w:val="21"/>
                <w:lang w:val="en-US" w:eastAsia="zh-CN"/>
              </w:rPr>
            </w:pPr>
            <w:r>
              <w:rPr>
                <w:rFonts w:hint="eastAsia" w:ascii="Times New Roman" w:hAnsi="Times New Roman" w:eastAsia="宋体" w:cs="Times New Roman"/>
                <w:sz w:val="18"/>
                <w:szCs w:val="18"/>
                <w:lang w:val="en-US" w:eastAsia="zh-CN"/>
              </w:rPr>
              <w:t>经现场检查，公司已经对生产车间使用的1台生物质蒸汽锅炉和2台3吨叉车进行检验，检验日期：2020年6月01日、2020年5月25日。（具体见扫描件）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Times New Roman" w:hAnsi="Times New Roman" w:eastAsia="宋体" w:cs="Times New Roman"/>
                <w:sz w:val="18"/>
                <w:szCs w:val="18"/>
                <w:lang w:val="en-US" w:eastAsia="zh-CN"/>
              </w:rPr>
              <w:t>化验室用危险化学品，使用储存等符合要求。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90" w:firstLineChars="50"/>
              <w:rPr>
                <w:rFonts w:ascii="宋体" w:hAnsi="宋体"/>
                <w:b/>
                <w:sz w:val="21"/>
                <w:szCs w:val="21"/>
              </w:rPr>
            </w:pPr>
            <w:r>
              <w:rPr>
                <w:rFonts w:hint="eastAsia" w:ascii="Times New Roman" w:hAnsi="Times New Roman" w:eastAsia="宋体" w:cs="Times New Roman"/>
                <w:sz w:val="18"/>
                <w:szCs w:val="18"/>
                <w:lang w:val="en-US" w:eastAsia="zh-CN"/>
              </w:rPr>
              <w:t>对质量、环境和职业健康安全目标进行了考核，查到2020年第三季度公司及各部门完成情况，各项质量、环境和业健康安全目标均已完成。目标具备可测量性。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能稳定向顾客提供较满意的生产服务。对顾客进行满意度调查，并进行了简要分析，2020年顾客满意度为96%。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left="105" w:hanging="90" w:hangingChars="5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本年度内审已按计划实施，内审策划审核方案中考虑了拟审核的过程和区域的状况和重要性，内审时间2020年7月20-21日，开出1个不符合项报告，并对不符合项进行分析制定纠正措施，不符合项整改有效。</w:t>
            </w:r>
          </w:p>
          <w:p>
            <w:pPr>
              <w:spacing w:line="240" w:lineRule="exact"/>
              <w:ind w:left="105" w:hanging="90" w:hangingChars="50"/>
              <w:rPr>
                <w:rFonts w:ascii="宋体" w:hAnsi="宋体"/>
                <w:b/>
                <w:sz w:val="21"/>
                <w:szCs w:val="21"/>
              </w:rPr>
            </w:pPr>
            <w:r>
              <w:rPr>
                <w:rFonts w:hint="eastAsia" w:ascii="Times New Roman" w:hAnsi="Times New Roman" w:eastAsia="宋体" w:cs="Times New Roman"/>
                <w:sz w:val="18"/>
                <w:szCs w:val="18"/>
                <w:lang w:val="en-US" w:eastAsia="zh-CN"/>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本年度管理评审已按计划实施，管理评审时间：2020年8月5日，管理评审考虑了体系变更需求，评审了方针有效、适宜和充分。制定了改进措施1项，体系运行基本有效。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Times New Roman" w:hAnsi="Times New Roman" w:eastAsia="宋体" w:cs="Times New Roman"/>
                <w:sz w:val="18"/>
                <w:szCs w:val="18"/>
                <w:lang w:val="en-US" w:eastAsia="zh-CN"/>
              </w:rPr>
              <w:t>该公司主要污染物是粉尘、噪声，公司定期对其排放实施了例行的监视或测量提供检测报告，检测时间：2020年7月30日，结果满足相关要求。（见检测报告）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Times New Roman" w:hAnsi="Times New Roman" w:eastAsia="宋体" w:cs="Times New Roman"/>
                <w:sz w:val="18"/>
                <w:szCs w:val="18"/>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公司定期对职业健康安全管理体系运行进行检查，体检时间：2020.7.18,  结果基本满足相关要求</w:t>
            </w:r>
            <w:r>
              <w:rPr>
                <w:rFonts w:hint="eastAsia"/>
                <w:b w:val="0"/>
                <w:bCs/>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已经对上次外审不符合项进行整改：生产车间使用的1台生物质蒸汽锅炉和2台3吨叉车未能提供定期检定的证据。</w:t>
            </w:r>
          </w:p>
          <w:p>
            <w:pPr>
              <w:spacing w:line="240" w:lineRule="exact"/>
              <w:rPr>
                <w:rFonts w:hint="default" w:ascii="宋体" w:hAnsi="宋体" w:eastAsia="宋体"/>
                <w:b/>
                <w:sz w:val="21"/>
                <w:szCs w:val="21"/>
                <w:lang w:val="en-US" w:eastAsia="zh-CN"/>
              </w:rPr>
            </w:pPr>
            <w:r>
              <w:rPr>
                <w:rFonts w:hint="eastAsia" w:ascii="Times New Roman" w:hAnsi="Times New Roman" w:eastAsia="宋体" w:cs="Times New Roman"/>
                <w:sz w:val="18"/>
                <w:szCs w:val="18"/>
                <w:lang w:val="en-US" w:eastAsia="zh-CN"/>
              </w:rPr>
              <w:t>经现场检查，公司已经对生产车间使用的1台生物质蒸汽锅炉和2台3吨叉车进行检验，检验日期：2020年6月01日、2020年5月25日。（具体见扫描件）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Times New Roman" w:hAnsi="Times New Roman" w:eastAsia="宋体" w:cs="Times New Roman"/>
                <w:sz w:val="18"/>
                <w:szCs w:val="18"/>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已经对上次外审不符合项进行整改：生产车间使用的1台生物质蒸汽锅炉和2台3吨叉车未能提供定期检定的证据。</w:t>
            </w:r>
          </w:p>
          <w:p>
            <w:pPr>
              <w:spacing w:line="240" w:lineRule="exact"/>
              <w:rPr>
                <w:rFonts w:hint="eastAsia" w:ascii="宋体" w:hAnsi="宋体" w:eastAsia="宋体"/>
                <w:b/>
                <w:sz w:val="21"/>
                <w:szCs w:val="21"/>
                <w:lang w:eastAsia="zh-CN"/>
              </w:rPr>
            </w:pPr>
            <w:r>
              <w:rPr>
                <w:rFonts w:hint="eastAsia" w:ascii="Times New Roman" w:hAnsi="Times New Roman" w:eastAsia="宋体" w:cs="Times New Roman"/>
                <w:sz w:val="18"/>
                <w:szCs w:val="18"/>
                <w:lang w:val="en-US" w:eastAsia="zh-CN"/>
              </w:rPr>
              <w:t>经现场检查，公司已经对生产车间使用的1台生物质蒸汽锅炉和2台3吨叉车进行检验，检验日期：2020年6月01日、2020年5月25日。（具体见扫描件）</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00" w:firstLineChars="100"/>
              <w:rPr>
                <w:rFonts w:ascii="宋体" w:hAnsi="宋体"/>
                <w:b/>
                <w:szCs w:val="21"/>
              </w:rPr>
            </w:pPr>
            <w:r>
              <w:rPr>
                <w:rFonts w:hint="eastAsia"/>
                <w:b w:val="0"/>
                <w:bCs/>
                <w:color w:val="000000" w:themeColor="text1"/>
                <w:sz w:val="20"/>
                <w:szCs w:val="20"/>
              </w:rPr>
              <w:t>该公司建立并实施的质量、环境和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同意推荐该公司质量、管理体系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87936" behindDoc="1" locked="0" layoutInCell="1" allowOverlap="1">
            <wp:simplePos x="0" y="0"/>
            <wp:positionH relativeFrom="column">
              <wp:posOffset>1764030</wp:posOffset>
            </wp:positionH>
            <wp:positionV relativeFrom="paragraph">
              <wp:posOffset>18415</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eastAsia="宋体"/>
          <w:b/>
          <w:sz w:val="21"/>
          <w:lang w:eastAsia="zh-CN"/>
        </w:rPr>
        <w:drawing>
          <wp:anchor distT="0" distB="0" distL="114300" distR="114300" simplePos="0" relativeHeight="251688960" behindDoc="0" locked="0" layoutInCell="1" allowOverlap="1">
            <wp:simplePos x="0" y="0"/>
            <wp:positionH relativeFrom="column">
              <wp:posOffset>2740660</wp:posOffset>
            </wp:positionH>
            <wp:positionV relativeFrom="paragraph">
              <wp:posOffset>138430</wp:posOffset>
            </wp:positionV>
            <wp:extent cx="999490" cy="509270"/>
            <wp:effectExtent l="0" t="0" r="3810" b="11430"/>
            <wp:wrapSquare wrapText="bothSides"/>
            <wp:docPr id="1" name="图片 1" descr="5a6f7ba49b008aba7fbd9bd5c4b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a6f7ba49b008aba7fbd9bd5c4b1261"/>
                    <pic:cNvPicPr>
                      <a:picLocks noChangeAspect="1"/>
                    </pic:cNvPicPr>
                  </pic:nvPicPr>
                  <pic:blipFill>
                    <a:blip r:embed="rId7">
                      <a:lum contrast="84000"/>
                    </a:blip>
                    <a:stretch>
                      <a:fillRect/>
                    </a:stretch>
                  </pic:blipFill>
                  <pic:spPr>
                    <a:xfrm>
                      <a:off x="0" y="0"/>
                      <a:ext cx="999490" cy="50927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drawing>
          <wp:anchor distT="0" distB="0" distL="114300" distR="114300" simplePos="0" relativeHeight="251719680" behindDoc="1" locked="0" layoutInCell="1" allowOverlap="1">
            <wp:simplePos x="0" y="0"/>
            <wp:positionH relativeFrom="column">
              <wp:posOffset>1313180</wp:posOffset>
            </wp:positionH>
            <wp:positionV relativeFrom="paragraph">
              <wp:posOffset>189865</wp:posOffset>
            </wp:positionV>
            <wp:extent cx="744855" cy="508000"/>
            <wp:effectExtent l="0" t="0" r="4445" b="0"/>
            <wp:wrapTight wrapText="bothSides">
              <wp:wrapPolygon>
                <wp:start x="0" y="0"/>
                <wp:lineTo x="0" y="21060"/>
                <wp:lineTo x="21361" y="21060"/>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9373B3"/>
    <w:rsid w:val="46111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2020-11-16T07:04:06Z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