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审核范围"/>
      <w:r>
        <w:rPr>
          <w:rFonts w:hint="eastAsia"/>
          <w:b/>
          <w:bCs/>
          <w:sz w:val="36"/>
          <w:szCs w:val="36"/>
          <w:u w:val="single"/>
          <w:lang w:eastAsia="zh-CN"/>
        </w:rPr>
        <w:t>重庆明宏瑞机械制造有限公司</w:t>
      </w:r>
      <w:bookmarkEnd w:id="0"/>
      <w:r>
        <w:rPr>
          <w:rFonts w:hint="eastAsia"/>
          <w:b/>
          <w:bCs/>
          <w:sz w:val="36"/>
          <w:szCs w:val="36"/>
          <w:u w:val="single"/>
          <w:lang w:eastAsia="zh-CN"/>
        </w:rPr>
        <w:t>普通机械零配件的制造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重庆明宏瑞机械制造有限公司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2020年12月12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47F62F01"/>
    <w:rsid w:val="4C321ACB"/>
    <w:rsid w:val="57923DDA"/>
    <w:rsid w:val="5A754802"/>
    <w:rsid w:val="5AAB1D58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2020-12-11T23:08:26Z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