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r>
        <w:rPr>
          <w:b/>
          <w:sz w:val="21"/>
          <w:szCs w:val="21"/>
        </w:rPr>
        <w:t xml:space="preserve"> </w:t>
      </w:r>
      <w:r>
        <w:rPr>
          <w:rFonts w:hint="eastAsia" w:ascii="宋体" w:hAnsi="宋体"/>
          <w:sz w:val="24"/>
          <w:szCs w:val="22"/>
        </w:rPr>
        <w:t>编  号：</w:t>
      </w:r>
      <w:bookmarkStart w:id="0" w:name="合同编号"/>
      <w:r>
        <w:rPr>
          <w:rFonts w:hint="eastAsia" w:ascii="宋体" w:hAnsi="宋体"/>
          <w:sz w:val="24"/>
          <w:szCs w:val="22"/>
        </w:rPr>
        <w:t>201909181595-2019</w:t>
      </w:r>
      <w:bookmarkEnd w:id="0"/>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7"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受审核方：成都迈思信息技术有限公司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bookmarkStart w:id="30" w:name="_GoBack"/>
      <w:bookmarkEnd w:id="30"/>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bookmarkStart w:id="5" w:name="组织名称"/>
            <w:r>
              <w:rPr>
                <w:rFonts w:hint="eastAsia"/>
                <w:b/>
                <w:sz w:val="21"/>
                <w:szCs w:val="21"/>
              </w:rPr>
              <w:t>成都迈思信息技术有限公司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bookmarkStart w:id="6" w:name="生产地址"/>
            <w:r>
              <w:rPr>
                <w:rFonts w:hint="eastAsia"/>
                <w:b/>
                <w:sz w:val="21"/>
                <w:szCs w:val="21"/>
              </w:rPr>
              <w:t>成都高新区世纪城南路599号天府软件园7栋3层</w:t>
            </w:r>
            <w:bookmarkEnd w:id="6"/>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bookmarkStart w:id="7" w:name="联系人电话"/>
            <w:r>
              <w:rPr>
                <w:b/>
                <w:sz w:val="21"/>
                <w:szCs w:val="21"/>
              </w:rPr>
              <w:t>028-85939206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728" w:type="dxa"/>
            <w:gridSpan w:val="2"/>
            <w:vAlign w:val="center"/>
          </w:tcPr>
          <w:p>
            <w:pPr>
              <w:jc w:val="center"/>
              <w:rPr>
                <w:b/>
                <w:sz w:val="21"/>
                <w:szCs w:val="21"/>
              </w:rPr>
            </w:pPr>
            <w:r>
              <w:rPr>
                <w:b/>
                <w:sz w:val="21"/>
                <w:szCs w:val="21"/>
              </w:rPr>
              <w:t>33.02.01</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8"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w:t>
      </w:r>
      <w:r>
        <w:rPr>
          <w:rFonts w:hint="eastAsia"/>
          <w:b/>
          <w:sz w:val="21"/>
          <w:szCs w:val="21"/>
          <w:u w:val="single"/>
        </w:rPr>
        <w:t>_监督1___</w:t>
      </w:r>
      <w:r>
        <w:rPr>
          <w:rFonts w:hint="eastAsia"/>
          <w:b/>
          <w:sz w:val="21"/>
          <w:szCs w:val="21"/>
        </w:rPr>
        <w:t>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8"/>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b/>
          <w:sz w:val="21"/>
          <w:szCs w:val="21"/>
        </w:rPr>
      </w:pPr>
      <w:bookmarkStart w:id="9" w:name="Q勾选15Add"/>
      <w:r>
        <w:rPr>
          <w:rFonts w:hint="eastAsia"/>
          <w:b/>
          <w:sz w:val="21"/>
          <w:szCs w:val="21"/>
        </w:rPr>
        <w:t>■</w:t>
      </w:r>
      <w:bookmarkEnd w:id="9"/>
      <w:r>
        <w:rPr>
          <w:rFonts w:hint="eastAsia"/>
          <w:b/>
          <w:sz w:val="21"/>
          <w:szCs w:val="21"/>
        </w:rPr>
        <w:t xml:space="preserve"> GB/T 19001:2016 idt ISO 9001:2015标准不适用条款: </w:t>
      </w:r>
    </w:p>
    <w:p>
      <w:pPr>
        <w:tabs>
          <w:tab w:val="left" w:pos="645"/>
        </w:tabs>
        <w:rPr>
          <w:b/>
          <w:sz w:val="21"/>
          <w:szCs w:val="21"/>
        </w:rPr>
      </w:pPr>
      <w:bookmarkStart w:id="10" w:name="QJ勾选Add"/>
      <w:r>
        <w:rPr>
          <w:rFonts w:hint="eastAsia"/>
          <w:b/>
          <w:sz w:val="21"/>
          <w:szCs w:val="21"/>
        </w:rPr>
        <w:t>□</w:t>
      </w:r>
      <w:bookmarkEnd w:id="10"/>
      <w:r>
        <w:rPr>
          <w:rFonts w:hint="eastAsia"/>
          <w:b/>
          <w:sz w:val="21"/>
          <w:szCs w:val="21"/>
        </w:rPr>
        <w:t xml:space="preserve"> GB/T 50430-2017标准不适用条款: </w:t>
      </w:r>
    </w:p>
    <w:p>
      <w:pPr>
        <w:tabs>
          <w:tab w:val="left" w:pos="645"/>
        </w:tabs>
        <w:rPr>
          <w:b/>
          <w:sz w:val="21"/>
          <w:szCs w:val="21"/>
        </w:rPr>
      </w:pPr>
      <w:bookmarkStart w:id="11" w:name="E勾选Add"/>
      <w:r>
        <w:rPr>
          <w:rFonts w:hint="eastAsia"/>
          <w:b/>
          <w:sz w:val="21"/>
          <w:szCs w:val="21"/>
        </w:rPr>
        <w:t>□</w:t>
      </w:r>
      <w:bookmarkEnd w:id="11"/>
      <w:r>
        <w:rPr>
          <w:rFonts w:hint="eastAsia"/>
          <w:b/>
          <w:sz w:val="21"/>
          <w:szCs w:val="21"/>
        </w:rPr>
        <w:t xml:space="preserve"> GB/T 24001-2016 idt ISO 14001:2015标准</w:t>
      </w:r>
    </w:p>
    <w:p>
      <w:pPr>
        <w:tabs>
          <w:tab w:val="left" w:pos="645"/>
        </w:tabs>
        <w:rPr>
          <w:b/>
          <w:sz w:val="21"/>
          <w:szCs w:val="21"/>
        </w:rPr>
      </w:pPr>
      <w:bookmarkStart w:id="12" w:name="S勾选Add"/>
      <w:r>
        <w:rPr>
          <w:rFonts w:hint="eastAsia"/>
          <w:b/>
          <w:sz w:val="21"/>
          <w:szCs w:val="21"/>
        </w:rPr>
        <w:t>□</w:t>
      </w:r>
      <w:bookmarkEnd w:id="12"/>
      <w:r>
        <w:rPr>
          <w:rFonts w:hint="eastAsia"/>
          <w:b/>
          <w:sz w:val="21"/>
          <w:szCs w:val="21"/>
        </w:rPr>
        <w:t xml:space="preserve"> GB/T 28001-2011 idt OHSMS 18001:2007标准</w:t>
      </w:r>
    </w:p>
    <w:p>
      <w:pPr>
        <w:tabs>
          <w:tab w:val="left" w:pos="645"/>
        </w:tabs>
        <w:rPr>
          <w:b/>
          <w:sz w:val="21"/>
          <w:szCs w:val="21"/>
        </w:rPr>
      </w:pPr>
      <w:bookmarkStart w:id="13" w:name="S勾选Add1"/>
      <w:r>
        <w:rPr>
          <w:rFonts w:hint="eastAsia"/>
          <w:b/>
          <w:sz w:val="21"/>
          <w:szCs w:val="21"/>
        </w:rPr>
        <w:t>□</w:t>
      </w:r>
      <w:bookmarkEnd w:id="13"/>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758"/>
        <w:gridCol w:w="2108"/>
        <w:gridCol w:w="990"/>
        <w:gridCol w:w="1854"/>
        <w:gridCol w:w="941"/>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jc w:val="center"/>
        </w:trPr>
        <w:tc>
          <w:tcPr>
            <w:tcW w:w="1799"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952" w:type="dxa"/>
            <w:gridSpan w:val="3"/>
          </w:tcPr>
          <w:p>
            <w:pPr>
              <w:spacing w:line="260" w:lineRule="exact"/>
              <w:rPr>
                <w:rFonts w:ascii="宋体"/>
                <w:b/>
                <w:color w:val="FF0000"/>
                <w:sz w:val="21"/>
              </w:rPr>
            </w:pPr>
            <w:bookmarkStart w:id="14" w:name="组织名称Add"/>
            <w:r>
              <w:rPr>
                <w:rFonts w:ascii="宋体"/>
                <w:b/>
                <w:sz w:val="21"/>
                <w:szCs w:val="22"/>
              </w:rPr>
              <w:t>成都迈思信息技术有限公司</w:t>
            </w:r>
            <w:bookmarkEnd w:id="14"/>
          </w:p>
        </w:tc>
        <w:tc>
          <w:tcPr>
            <w:tcW w:w="941"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2114" w:type="dxa"/>
          </w:tcPr>
          <w:p>
            <w:pPr>
              <w:spacing w:line="260" w:lineRule="exact"/>
              <w:rPr>
                <w:rFonts w:hint="default" w:ascii="宋体" w:eastAsia="宋体"/>
                <w:b/>
                <w:sz w:val="21"/>
                <w:lang w:val="en-US" w:eastAsia="zh-CN"/>
              </w:rPr>
            </w:pPr>
            <w:r>
              <w:rPr>
                <w:rFonts w:hint="eastAsia" w:ascii="宋体"/>
                <w:b/>
                <w:sz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799" w:type="dxa"/>
            <w:gridSpan w:val="2"/>
            <w:vAlign w:val="center"/>
          </w:tcPr>
          <w:p>
            <w:pPr>
              <w:jc w:val="center"/>
              <w:rPr>
                <w:b/>
                <w:sz w:val="16"/>
                <w:szCs w:val="16"/>
              </w:rPr>
            </w:pPr>
            <w:r>
              <w:rPr>
                <w:rFonts w:hint="eastAsia" w:ascii="宋体" w:hAnsi="宋体"/>
                <w:b/>
                <w:sz w:val="21"/>
                <w:szCs w:val="21"/>
              </w:rPr>
              <w:t>注册地址</w:t>
            </w:r>
          </w:p>
        </w:tc>
        <w:tc>
          <w:tcPr>
            <w:tcW w:w="4952" w:type="dxa"/>
            <w:gridSpan w:val="3"/>
          </w:tcPr>
          <w:p>
            <w:pPr>
              <w:rPr>
                <w:rFonts w:ascii="宋体"/>
                <w:b/>
                <w:sz w:val="21"/>
              </w:rPr>
            </w:pPr>
            <w:bookmarkStart w:id="15" w:name="注册地址"/>
            <w:r>
              <w:rPr>
                <w:rFonts w:ascii="宋体"/>
                <w:b/>
                <w:sz w:val="21"/>
              </w:rPr>
              <w:t>成都高新区世纪城南路599号天府软件园7栋3层</w:t>
            </w:r>
            <w:bookmarkEnd w:id="15"/>
          </w:p>
        </w:tc>
        <w:tc>
          <w:tcPr>
            <w:tcW w:w="941" w:type="dxa"/>
            <w:vMerge w:val="restart"/>
            <w:vAlign w:val="center"/>
          </w:tcPr>
          <w:p>
            <w:pPr>
              <w:jc w:val="center"/>
              <w:rPr>
                <w:rFonts w:ascii="宋体"/>
                <w:b/>
                <w:sz w:val="21"/>
              </w:rPr>
            </w:pPr>
            <w:r>
              <w:rPr>
                <w:rFonts w:hint="eastAsia" w:ascii="宋体" w:hAnsi="宋体"/>
                <w:b/>
                <w:sz w:val="21"/>
              </w:rPr>
              <w:t>邮编</w:t>
            </w:r>
          </w:p>
        </w:tc>
        <w:tc>
          <w:tcPr>
            <w:tcW w:w="2114" w:type="dxa"/>
          </w:tcPr>
          <w:p>
            <w:pPr>
              <w:rPr>
                <w:rFonts w:ascii="宋体"/>
                <w:b/>
                <w:sz w:val="21"/>
              </w:rPr>
            </w:pPr>
            <w:bookmarkStart w:id="16" w:name="注册邮编"/>
            <w:r>
              <w:rPr>
                <w:rFonts w:ascii="宋体"/>
                <w:b/>
                <w:sz w:val="21"/>
              </w:rPr>
              <w:t>610041</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1799" w:type="dxa"/>
            <w:gridSpan w:val="2"/>
            <w:vAlign w:val="center"/>
          </w:tcPr>
          <w:p>
            <w:pPr>
              <w:jc w:val="center"/>
              <w:rPr>
                <w:rFonts w:ascii="宋体"/>
                <w:b/>
                <w:sz w:val="21"/>
                <w:szCs w:val="21"/>
              </w:rPr>
            </w:pPr>
            <w:r>
              <w:rPr>
                <w:rFonts w:hint="eastAsia" w:ascii="宋体" w:hAnsi="宋体"/>
                <w:b/>
                <w:sz w:val="21"/>
                <w:szCs w:val="21"/>
              </w:rPr>
              <w:t>经营地址</w:t>
            </w:r>
          </w:p>
        </w:tc>
        <w:tc>
          <w:tcPr>
            <w:tcW w:w="4952" w:type="dxa"/>
            <w:gridSpan w:val="3"/>
          </w:tcPr>
          <w:p>
            <w:pPr>
              <w:rPr>
                <w:rFonts w:ascii="宋体"/>
                <w:b/>
                <w:sz w:val="21"/>
                <w:szCs w:val="22"/>
              </w:rPr>
            </w:pPr>
            <w:r>
              <w:rPr>
                <w:rFonts w:hint="eastAsia" w:ascii="宋体"/>
                <w:b/>
                <w:sz w:val="21"/>
                <w:szCs w:val="22"/>
              </w:rPr>
              <w:t>成都高新区天府软件园D区6栋13楼</w:t>
            </w:r>
          </w:p>
        </w:tc>
        <w:tc>
          <w:tcPr>
            <w:tcW w:w="941" w:type="dxa"/>
            <w:vMerge w:val="continue"/>
            <w:vAlign w:val="center"/>
          </w:tcPr>
          <w:p>
            <w:pPr>
              <w:jc w:val="center"/>
              <w:rPr>
                <w:rFonts w:ascii="宋体"/>
                <w:b/>
                <w:sz w:val="21"/>
              </w:rPr>
            </w:pPr>
          </w:p>
        </w:tc>
        <w:tc>
          <w:tcPr>
            <w:tcW w:w="2114" w:type="dxa"/>
          </w:tcPr>
          <w:p>
            <w:pPr>
              <w:rPr>
                <w:rFonts w:ascii="宋体"/>
                <w:b/>
                <w:sz w:val="21"/>
              </w:rPr>
            </w:pPr>
            <w:bookmarkStart w:id="17" w:name="办公邮编"/>
            <w:r>
              <w:rPr>
                <w:rFonts w:ascii="宋体"/>
                <w:b/>
                <w:sz w:val="21"/>
              </w:rPr>
              <w:t>610041</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1799"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952" w:type="dxa"/>
            <w:gridSpan w:val="3"/>
          </w:tcPr>
          <w:p>
            <w:pPr>
              <w:rPr>
                <w:rFonts w:ascii="宋体"/>
                <w:b/>
                <w:sz w:val="21"/>
                <w:szCs w:val="22"/>
              </w:rPr>
            </w:pPr>
            <w:r>
              <w:rPr>
                <w:rFonts w:hint="eastAsia" w:ascii="宋体"/>
                <w:b/>
                <w:sz w:val="21"/>
                <w:szCs w:val="22"/>
              </w:rPr>
              <w:t>成都高新区天府软件园D区6栋13楼</w:t>
            </w:r>
          </w:p>
        </w:tc>
        <w:tc>
          <w:tcPr>
            <w:tcW w:w="941" w:type="dxa"/>
            <w:vMerge w:val="continue"/>
            <w:vAlign w:val="center"/>
          </w:tcPr>
          <w:p>
            <w:pPr>
              <w:jc w:val="center"/>
              <w:rPr>
                <w:rFonts w:ascii="宋体"/>
                <w:b/>
                <w:sz w:val="21"/>
              </w:rPr>
            </w:pPr>
          </w:p>
        </w:tc>
        <w:tc>
          <w:tcPr>
            <w:tcW w:w="2114" w:type="dxa"/>
          </w:tcPr>
          <w:p>
            <w:pPr>
              <w:rPr>
                <w:rFonts w:ascii="宋体"/>
                <w:b/>
                <w:sz w:val="21"/>
              </w:rPr>
            </w:pPr>
            <w:bookmarkStart w:id="18" w:name="生产邮编"/>
            <w:r>
              <w:rPr>
                <w:rFonts w:ascii="宋体"/>
                <w:b/>
                <w:sz w:val="21"/>
              </w:rPr>
              <w:t>610041</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1799" w:type="dxa"/>
            <w:gridSpan w:val="2"/>
            <w:vAlign w:val="center"/>
          </w:tcPr>
          <w:p>
            <w:pPr>
              <w:jc w:val="center"/>
              <w:rPr>
                <w:rFonts w:ascii="宋体"/>
                <w:b/>
                <w:sz w:val="21"/>
              </w:rPr>
            </w:pPr>
            <w:r>
              <w:rPr>
                <w:rFonts w:hint="eastAsia" w:ascii="宋体" w:hAnsi="宋体"/>
                <w:b/>
                <w:sz w:val="21"/>
              </w:rPr>
              <w:t>联系人</w:t>
            </w:r>
          </w:p>
        </w:tc>
        <w:tc>
          <w:tcPr>
            <w:tcW w:w="2108" w:type="dxa"/>
          </w:tcPr>
          <w:p>
            <w:pPr>
              <w:rPr>
                <w:rFonts w:hint="eastAsia" w:ascii="宋体" w:eastAsia="宋体"/>
                <w:b/>
                <w:sz w:val="21"/>
                <w:lang w:eastAsia="zh-CN"/>
              </w:rPr>
            </w:pPr>
            <w:r>
              <w:rPr>
                <w:rFonts w:hint="eastAsia" w:ascii="宋体"/>
                <w:b/>
                <w:sz w:val="21"/>
                <w:lang w:eastAsia="zh-CN"/>
              </w:rPr>
              <w:t>唐秀瑛</w:t>
            </w:r>
          </w:p>
        </w:tc>
        <w:tc>
          <w:tcPr>
            <w:tcW w:w="990" w:type="dxa"/>
            <w:vAlign w:val="center"/>
          </w:tcPr>
          <w:p>
            <w:pPr>
              <w:jc w:val="center"/>
              <w:rPr>
                <w:rFonts w:ascii="宋体"/>
                <w:b/>
                <w:sz w:val="21"/>
              </w:rPr>
            </w:pPr>
            <w:r>
              <w:rPr>
                <w:rFonts w:hint="eastAsia" w:ascii="宋体" w:hAnsi="宋体"/>
                <w:b/>
                <w:sz w:val="21"/>
              </w:rPr>
              <w:t>电话</w:t>
            </w:r>
            <w:r>
              <w:rPr>
                <w:b/>
                <w:sz w:val="16"/>
                <w:szCs w:val="16"/>
              </w:rPr>
              <w:t>.</w:t>
            </w:r>
          </w:p>
        </w:tc>
        <w:tc>
          <w:tcPr>
            <w:tcW w:w="1854" w:type="dxa"/>
            <w:vAlign w:val="center"/>
          </w:tcPr>
          <w:p>
            <w:pPr>
              <w:jc w:val="center"/>
              <w:rPr>
                <w:rFonts w:hint="default" w:ascii="宋体" w:eastAsia="宋体"/>
                <w:b/>
                <w:sz w:val="21"/>
                <w:lang w:val="en-US" w:eastAsia="zh-CN"/>
              </w:rPr>
            </w:pPr>
            <w:r>
              <w:rPr>
                <w:rFonts w:hint="eastAsia" w:ascii="宋体"/>
                <w:b/>
                <w:sz w:val="21"/>
                <w:lang w:val="en-US" w:eastAsia="zh-CN"/>
              </w:rPr>
              <w:t>18908091409</w:t>
            </w:r>
          </w:p>
        </w:tc>
        <w:tc>
          <w:tcPr>
            <w:tcW w:w="941" w:type="dxa"/>
            <w:vAlign w:val="center"/>
          </w:tcPr>
          <w:p>
            <w:pPr>
              <w:jc w:val="center"/>
              <w:rPr>
                <w:rFonts w:ascii="宋体"/>
                <w:b/>
                <w:sz w:val="21"/>
              </w:rPr>
            </w:pPr>
            <w:r>
              <w:rPr>
                <w:rFonts w:hint="eastAsia" w:ascii="宋体" w:hAnsi="宋体"/>
                <w:b/>
                <w:sz w:val="21"/>
              </w:rPr>
              <w:t>传真</w:t>
            </w:r>
          </w:p>
        </w:tc>
        <w:tc>
          <w:tcPr>
            <w:tcW w:w="2114"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799"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108" w:type="dxa"/>
          </w:tcPr>
          <w:p>
            <w:pPr>
              <w:rPr>
                <w:rFonts w:ascii="宋体" w:hAnsi="宋体"/>
                <w:b/>
                <w:sz w:val="21"/>
                <w:szCs w:val="21"/>
              </w:rPr>
            </w:pPr>
            <w:bookmarkStart w:id="20" w:name="法人"/>
            <w:r>
              <w:rPr>
                <w:rFonts w:ascii="宋体" w:hAnsi="宋体"/>
                <w:b/>
                <w:sz w:val="21"/>
                <w:szCs w:val="21"/>
              </w:rPr>
              <w:t>胡壹</w:t>
            </w:r>
            <w:bookmarkEnd w:id="20"/>
          </w:p>
        </w:tc>
        <w:tc>
          <w:tcPr>
            <w:tcW w:w="990" w:type="dxa"/>
            <w:vAlign w:val="center"/>
          </w:tcPr>
          <w:p>
            <w:pPr>
              <w:jc w:val="center"/>
              <w:rPr>
                <w:rFonts w:ascii="宋体" w:hAnsi="宋体"/>
                <w:b/>
                <w:sz w:val="21"/>
                <w:szCs w:val="21"/>
              </w:rPr>
            </w:pPr>
            <w:r>
              <w:rPr>
                <w:rFonts w:hint="eastAsia" w:ascii="宋体" w:hAnsi="宋体"/>
                <w:b/>
                <w:sz w:val="21"/>
                <w:szCs w:val="21"/>
              </w:rPr>
              <w:t>总经理</w:t>
            </w:r>
          </w:p>
        </w:tc>
        <w:tc>
          <w:tcPr>
            <w:tcW w:w="1854" w:type="dxa"/>
          </w:tcPr>
          <w:p>
            <w:pPr>
              <w:rPr>
                <w:rFonts w:ascii="宋体" w:hAnsi="宋体"/>
                <w:b/>
                <w:sz w:val="21"/>
                <w:szCs w:val="21"/>
              </w:rPr>
            </w:pPr>
          </w:p>
        </w:tc>
        <w:tc>
          <w:tcPr>
            <w:tcW w:w="941" w:type="dxa"/>
            <w:vAlign w:val="center"/>
          </w:tcPr>
          <w:p>
            <w:pPr>
              <w:jc w:val="center"/>
              <w:rPr>
                <w:rFonts w:ascii="宋体" w:hAnsi="宋体"/>
                <w:b/>
                <w:sz w:val="21"/>
                <w:szCs w:val="21"/>
              </w:rPr>
            </w:pPr>
            <w:r>
              <w:rPr>
                <w:rFonts w:hint="eastAsia" w:ascii="宋体" w:hAnsi="宋体"/>
                <w:b/>
                <w:sz w:val="21"/>
                <w:szCs w:val="21"/>
              </w:rPr>
              <w:t>管理者代表</w:t>
            </w:r>
          </w:p>
        </w:tc>
        <w:tc>
          <w:tcPr>
            <w:tcW w:w="2114" w:type="dxa"/>
          </w:tcPr>
          <w:p>
            <w:pPr>
              <w:rPr>
                <w:rFonts w:ascii="宋体"/>
                <w:b/>
                <w:sz w:val="21"/>
              </w:rPr>
            </w:pPr>
            <w:bookmarkStart w:id="21" w:name="管理者代表"/>
            <w:r>
              <w:rPr>
                <w:rFonts w:ascii="宋体"/>
                <w:b/>
                <w:sz w:val="21"/>
              </w:rPr>
              <w:t>胡俊</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799"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098" w:type="dxa"/>
            <w:gridSpan w:val="2"/>
            <w:vAlign w:val="center"/>
          </w:tcPr>
          <w:p>
            <w:pPr>
              <w:rPr>
                <w:rFonts w:ascii="宋体" w:hAnsi="宋体"/>
                <w:b/>
                <w:sz w:val="21"/>
                <w:szCs w:val="21"/>
              </w:rPr>
            </w:pPr>
            <w:bookmarkStart w:id="22" w:name="审核日期"/>
            <w:r>
              <w:rPr>
                <w:rFonts w:ascii="宋体" w:hAnsi="宋体"/>
                <w:b/>
                <w:sz w:val="21"/>
                <w:szCs w:val="21"/>
              </w:rPr>
              <w:t>2019年09月23日 上午至2019年09月23日 下午</w:t>
            </w:r>
            <w:bookmarkEnd w:id="22"/>
          </w:p>
        </w:tc>
        <w:tc>
          <w:tcPr>
            <w:tcW w:w="1854" w:type="dxa"/>
            <w:vAlign w:val="center"/>
          </w:tcPr>
          <w:p>
            <w:pPr>
              <w:rPr>
                <w:rFonts w:ascii="宋体" w:hAnsi="宋体"/>
                <w:b/>
                <w:sz w:val="21"/>
                <w:szCs w:val="21"/>
              </w:rPr>
            </w:pPr>
            <w:r>
              <w:rPr>
                <w:rFonts w:hint="eastAsia" w:ascii="宋体" w:hAnsi="宋体"/>
                <w:b/>
                <w:sz w:val="21"/>
                <w:szCs w:val="21"/>
              </w:rPr>
              <w:t>一体化审核</w:t>
            </w:r>
          </w:p>
        </w:tc>
        <w:tc>
          <w:tcPr>
            <w:tcW w:w="3055" w:type="dxa"/>
            <w:gridSpan w:val="2"/>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6" w:hRule="atLeast"/>
          <w:jc w:val="center"/>
        </w:trPr>
        <w:tc>
          <w:tcPr>
            <w:tcW w:w="1799"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8007" w:type="dxa"/>
            <w:gridSpan w:val="5"/>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审核范围"/>
            <w:bookmarkStart w:id="25" w:name="QJ勾选Add1"/>
            <w:r>
              <w:rPr>
                <w:rFonts w:hint="eastAsia" w:ascii="宋体" w:hAnsi="宋体"/>
                <w:b/>
                <w:sz w:val="21"/>
                <w:szCs w:val="21"/>
              </w:rPr>
              <w:t>计算机软件研发</w:t>
            </w:r>
            <w:bookmarkEnd w:id="24"/>
            <w:r>
              <w:rPr>
                <w:rFonts w:hint="eastAsia" w:ascii="宋体" w:hAnsi="宋体"/>
                <w:b/>
                <w:sz w:val="21"/>
                <w:szCs w:val="21"/>
              </w:rPr>
              <w:t xml:space="preserve"> □</w:t>
            </w:r>
            <w:bookmarkEnd w:id="25"/>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758"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8007"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799"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108" w:type="dxa"/>
          </w:tcPr>
          <w:p>
            <w:pPr>
              <w:spacing w:line="260" w:lineRule="exact"/>
              <w:rPr>
                <w:rFonts w:ascii="宋体" w:hAnsi="宋体"/>
                <w:b/>
                <w:sz w:val="21"/>
                <w:szCs w:val="21"/>
              </w:rPr>
            </w:pPr>
            <w:bookmarkStart w:id="28" w:name="专业代码"/>
            <w:r>
              <w:rPr>
                <w:rFonts w:ascii="宋体" w:hAnsi="宋体"/>
                <w:b/>
                <w:sz w:val="21"/>
                <w:szCs w:val="21"/>
              </w:rPr>
              <w:t>33.02.01</w:t>
            </w:r>
            <w:bookmarkEnd w:id="28"/>
          </w:p>
        </w:tc>
        <w:tc>
          <w:tcPr>
            <w:tcW w:w="990"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854" w:type="dxa"/>
          </w:tcPr>
          <w:p>
            <w:pPr>
              <w:spacing w:line="260" w:lineRule="exact"/>
              <w:rPr>
                <w:rFonts w:hint="default" w:ascii="宋体" w:hAnsi="宋体" w:eastAsia="宋体"/>
                <w:b/>
                <w:sz w:val="21"/>
                <w:szCs w:val="21"/>
                <w:lang w:val="en-US" w:eastAsia="zh-CN"/>
              </w:rPr>
            </w:pPr>
            <w:bookmarkStart w:id="29" w:name="证书有效期"/>
            <w:bookmarkEnd w:id="29"/>
            <w:r>
              <w:rPr>
                <w:rFonts w:hint="eastAsia" w:ascii="宋体" w:hAnsi="宋体"/>
                <w:b/>
                <w:sz w:val="21"/>
                <w:szCs w:val="21"/>
                <w:lang w:val="en-US" w:eastAsia="zh-CN"/>
              </w:rPr>
              <w:t>2021年9月16日</w:t>
            </w:r>
          </w:p>
        </w:tc>
        <w:tc>
          <w:tcPr>
            <w:tcW w:w="941"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2114" w:type="dxa"/>
          </w:tcPr>
          <w:p>
            <w:pPr>
              <w:spacing w:line="260" w:lineRule="exact"/>
              <w:rPr>
                <w:rFonts w:ascii="宋体"/>
                <w:b/>
                <w:sz w:val="21"/>
              </w:rPr>
            </w:pPr>
            <w:r>
              <w:rPr>
                <w:rFonts w:hint="eastAsia" w:ascii="宋体" w:hAnsi="宋体"/>
                <w:b/>
                <w:sz w:val="21"/>
                <w:szCs w:val="21"/>
              </w:rPr>
              <w:t xml:space="preserve"> 2018年</w:t>
            </w:r>
            <w:r>
              <w:rPr>
                <w:rFonts w:hint="eastAsia" w:ascii="宋体" w:hAnsi="宋体"/>
                <w:b/>
                <w:sz w:val="21"/>
                <w:szCs w:val="21"/>
                <w:lang w:val="en-US" w:eastAsia="zh-CN"/>
              </w:rPr>
              <w:t>9</w:t>
            </w:r>
            <w:r>
              <w:rPr>
                <w:rFonts w:hint="eastAsia" w:ascii="宋体" w:hAnsi="宋体"/>
                <w:b/>
                <w:sz w:val="21"/>
                <w:szCs w:val="21"/>
              </w:rPr>
              <w:t xml:space="preserve"> 月  </w:t>
            </w:r>
            <w:r>
              <w:rPr>
                <w:rFonts w:hint="eastAsia" w:ascii="宋体" w:hAnsi="宋体"/>
                <w:b/>
                <w:sz w:val="21"/>
                <w:szCs w:val="21"/>
                <w:lang w:val="en-US" w:eastAsia="zh-CN"/>
              </w:rPr>
              <w:t>2</w:t>
            </w:r>
            <w:r>
              <w:rPr>
                <w:rFonts w:hint="eastAsia" w:ascii="宋体" w:hAnsi="宋体"/>
                <w:b/>
                <w:sz w:val="21"/>
                <w:szCs w:val="21"/>
              </w:rPr>
              <w:t>日</w:t>
            </w:r>
            <w:r>
              <w:rPr>
                <w:rFonts w:hint="eastAsia" w:ascii="宋体" w:hAnsi="宋体"/>
                <w:b/>
                <w:sz w:val="21"/>
                <w:szCs w:val="21"/>
                <w:lang w:eastAsia="zh-CN"/>
              </w:rPr>
              <w:t>下午</w:t>
            </w:r>
            <w:r>
              <w:rPr>
                <w:rFonts w:hint="eastAsia" w:ascii="宋体" w:hAnsi="宋体"/>
                <w:b/>
                <w:sz w:val="21"/>
                <w:szCs w:val="21"/>
              </w:rPr>
              <w:t>至   201</w:t>
            </w:r>
            <w:r>
              <w:rPr>
                <w:rFonts w:hint="eastAsia" w:ascii="宋体" w:hAnsi="宋体"/>
                <w:b/>
                <w:sz w:val="21"/>
                <w:szCs w:val="21"/>
                <w:lang w:val="en-US" w:eastAsia="zh-CN"/>
              </w:rPr>
              <w:t>8</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 xml:space="preserve">   月 </w:t>
            </w:r>
            <w:r>
              <w:rPr>
                <w:rFonts w:hint="eastAsia" w:ascii="宋体" w:hAnsi="宋体"/>
                <w:b/>
                <w:sz w:val="21"/>
                <w:szCs w:val="21"/>
                <w:lang w:val="en-US" w:eastAsia="zh-CN"/>
              </w:rPr>
              <w:t>4</w:t>
            </w:r>
            <w:r>
              <w:rPr>
                <w:rFonts w:hint="eastAsia" w:ascii="宋体" w:hAnsi="宋体"/>
                <w:b/>
                <w:sz w:val="21"/>
                <w:szCs w:val="21"/>
              </w:rPr>
              <w:t xml:space="preserve"> 日</w:t>
            </w:r>
            <w:r>
              <w:rPr>
                <w:rFonts w:hint="eastAsia" w:ascii="宋体" w:hAnsi="宋体"/>
                <w:b/>
                <w:sz w:val="21"/>
                <w:szCs w:val="21"/>
                <w:lang w:eastAsia="zh-CN"/>
              </w:rPr>
              <w:t>上午</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2018</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4</w:t>
      </w:r>
      <w:r>
        <w:rPr>
          <w:rFonts w:hint="eastAsia" w:ascii="宋体" w:hAnsi="宋体"/>
          <w:b/>
          <w:sz w:val="21"/>
          <w:szCs w:val="21"/>
        </w:rPr>
        <w:t>日至</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23</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1"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rFonts w:hint="eastAsia" w:ascii="宋体" w:hAnsi="宋体"/>
                <w:b/>
                <w:sz w:val="21"/>
                <w:szCs w:val="21"/>
              </w:rPr>
            </w:pPr>
            <w:r>
              <w:rPr>
                <w:rFonts w:hint="eastAsia" w:ascii="宋体" w:hAnsi="宋体" w:cs="宋体"/>
                <w:sz w:val="21"/>
                <w:szCs w:val="21"/>
              </w:rPr>
              <w:t>成都迈思信息技术有限公司是一家专业从事计算机软件研发的企业。现有员工数</w:t>
            </w:r>
            <w:r>
              <w:rPr>
                <w:rFonts w:hint="eastAsia" w:ascii="宋体" w:hAnsi="宋体" w:cs="宋体"/>
                <w:sz w:val="21"/>
                <w:szCs w:val="21"/>
                <w:lang w:val="en-US" w:eastAsia="zh-CN"/>
              </w:rPr>
              <w:t>2</w:t>
            </w:r>
            <w:r>
              <w:rPr>
                <w:rFonts w:hint="eastAsia" w:ascii="宋体" w:hAnsi="宋体" w:cs="宋体"/>
                <w:sz w:val="21"/>
                <w:szCs w:val="21"/>
              </w:rPr>
              <w:t>5人，</w:t>
            </w:r>
            <w:r>
              <w:rPr>
                <w:rFonts w:hint="eastAsia" w:ascii="宋体" w:hAnsi="宋体"/>
                <w:sz w:val="21"/>
                <w:szCs w:val="21"/>
              </w:rPr>
              <w:t>产品广泛运用到教学、电商等领域。</w:t>
            </w:r>
            <w:r>
              <w:rPr>
                <w:rFonts w:hint="eastAsia" w:ascii="宋体" w:hAnsi="宋体" w:cs="宋体"/>
                <w:sz w:val="21"/>
                <w:szCs w:val="21"/>
              </w:rPr>
              <w:t>经营状况良好。组织对内外部因素、相关方需求和期望进行了充分的识别，策划和实施有效。确定了体系的边界，基本适用。管理体系</w:t>
            </w:r>
            <w:r>
              <w:rPr>
                <w:rFonts w:hint="eastAsia" w:ascii="宋体" w:hAnsi="宋体" w:cs="宋体"/>
                <w:sz w:val="21"/>
                <w:szCs w:val="21"/>
                <w:lang w:eastAsia="zh-CN"/>
              </w:rPr>
              <w:t>无</w:t>
            </w:r>
            <w:r>
              <w:rPr>
                <w:rFonts w:hint="eastAsia" w:ascii="宋体" w:hAnsi="宋体" w:cs="宋体"/>
                <w:sz w:val="21"/>
                <w:szCs w:val="21"/>
              </w:rPr>
              <w:t>不适用</w:t>
            </w:r>
            <w:r>
              <w:rPr>
                <w:rFonts w:hint="eastAsia" w:ascii="宋体" w:hAnsi="宋体" w:cs="宋体"/>
                <w:sz w:val="21"/>
                <w:szCs w:val="21"/>
                <w:lang w:eastAsia="zh-CN"/>
              </w:rPr>
              <w:t>条款</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80" w:lineRule="exact"/>
              <w:rPr>
                <w:rFonts w:ascii="宋体" w:hAnsi="宋体"/>
                <w:b/>
                <w:sz w:val="21"/>
                <w:szCs w:val="21"/>
              </w:rPr>
            </w:pPr>
            <w:r>
              <w:rPr>
                <w:rFonts w:hint="eastAsia" w:ascii="宋体" w:hAnsi="宋体" w:cs="宋体"/>
                <w:color w:val="000000"/>
                <w:sz w:val="21"/>
                <w:szCs w:val="21"/>
              </w:rPr>
              <w:t>“</w:t>
            </w:r>
            <w:r>
              <w:rPr>
                <w:rFonts w:hint="eastAsia"/>
                <w:sz w:val="21"/>
                <w:szCs w:val="21"/>
              </w:rPr>
              <w:t>：质量为本、信誉至上，持续改进，争创一流，满足要求</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rPr>
                <w:rFonts w:hint="eastAsia" w:ascii="宋体" w:hAnsi="宋体"/>
                <w:b/>
                <w:sz w:val="21"/>
                <w:szCs w:val="21"/>
              </w:rPr>
            </w:pPr>
            <w:r>
              <w:rPr>
                <w:rFonts w:hint="eastAsia" w:ascii="宋体" w:hAnsi="宋体" w:cs="宋体"/>
                <w:color w:val="000000"/>
                <w:sz w:val="21"/>
                <w:szCs w:val="21"/>
              </w:rPr>
              <w:t>公司了建立了风险和机遇应对措施的管控文件《风险分析控制程序》，并在体系运行中加以应用，符合标准要求。从现场及资料确认：主要风险和机遇的应对措施得当，应对效果基本满足要求。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460" w:lineRule="atLeast"/>
              <w:rPr>
                <w:rFonts w:ascii="宋体" w:hAnsi="宋体"/>
                <w:b/>
                <w:sz w:val="21"/>
                <w:szCs w:val="21"/>
              </w:rPr>
            </w:pPr>
            <w:r>
              <w:rPr>
                <w:rFonts w:hint="eastAsia" w:ascii="宋体" w:hAnsi="宋体"/>
                <w:b/>
                <w:sz w:val="21"/>
                <w:szCs w:val="21"/>
              </w:rPr>
              <w:t>质量管理体系过程有：</w:t>
            </w:r>
            <w:r>
              <w:rPr>
                <w:rFonts w:hint="eastAsia" w:ascii="宋体" w:hAnsi="宋体"/>
                <w:sz w:val="21"/>
                <w:szCs w:val="21"/>
              </w:rPr>
              <w:t>洽谈项目——立项与策划——需求分析——设计开发——编码——测试——发布上线—验收</w:t>
            </w:r>
          </w:p>
          <w:p>
            <w:pPr>
              <w:tabs>
                <w:tab w:val="left" w:pos="540"/>
              </w:tabs>
              <w:spacing w:line="300" w:lineRule="exact"/>
              <w:ind w:left="211" w:hanging="211" w:hangingChars="100"/>
              <w:rPr>
                <w:rFonts w:hint="eastAsia" w:ascii="宋体" w:hAnsi="宋体" w:eastAsia="宋体"/>
                <w:b/>
                <w:sz w:val="21"/>
                <w:szCs w:val="21"/>
                <w:lang w:eastAsia="zh-CN"/>
              </w:rPr>
            </w:pPr>
            <w:r>
              <w:rPr>
                <w:rFonts w:hint="eastAsia" w:ascii="宋体" w:hAnsi="宋体"/>
                <w:b/>
                <w:sz w:val="21"/>
                <w:szCs w:val="21"/>
              </w:rPr>
              <w:t>其中关键过程有</w:t>
            </w:r>
            <w:r>
              <w:rPr>
                <w:rFonts w:hint="eastAsia" w:ascii="宋体" w:hAnsi="宋体"/>
                <w:b/>
                <w:sz w:val="21"/>
                <w:szCs w:val="21"/>
                <w:lang w:eastAsia="zh-CN"/>
              </w:rPr>
              <w:t>：研发过程</w:t>
            </w:r>
          </w:p>
          <w:p>
            <w:pPr>
              <w:tabs>
                <w:tab w:val="left" w:pos="540"/>
              </w:tabs>
              <w:spacing w:line="300" w:lineRule="exact"/>
              <w:ind w:left="211" w:hanging="211" w:hangingChars="100"/>
              <w:rPr>
                <w:rFonts w:hint="eastAsia" w:ascii="宋体" w:hAnsi="宋体" w:eastAsia="宋体"/>
                <w:b/>
                <w:sz w:val="21"/>
                <w:szCs w:val="21"/>
                <w:lang w:eastAsia="zh-CN"/>
              </w:rPr>
            </w:pPr>
            <w:r>
              <w:rPr>
                <w:rFonts w:hint="eastAsia" w:ascii="宋体" w:hAnsi="宋体"/>
                <w:b/>
                <w:sz w:val="21"/>
                <w:szCs w:val="21"/>
              </w:rPr>
              <w:t>需要确认过程</w:t>
            </w:r>
            <w:r>
              <w:rPr>
                <w:rFonts w:hint="eastAsia" w:ascii="宋体" w:hAnsi="宋体"/>
                <w:b/>
                <w:sz w:val="21"/>
                <w:szCs w:val="21"/>
                <w:lang w:eastAsia="zh-CN"/>
              </w:rPr>
              <w:t>：无</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eastAsia="zh-CN"/>
              </w:rPr>
              <w:t>无</w:t>
            </w:r>
            <w:r>
              <w:rPr>
                <w:rFonts w:hint="eastAsia" w:ascii="宋体" w:hAnsi="宋体"/>
                <w:b/>
                <w:sz w:val="21"/>
                <w:szCs w:val="21"/>
                <w:lang w:val="en-US" w:eastAsia="zh-CN"/>
              </w:rPr>
              <w:t xml:space="preserve">      </w:t>
            </w:r>
            <w:r>
              <w:rPr>
                <w:rFonts w:hint="eastAsia" w:ascii="宋体" w:hAnsi="宋体"/>
                <w:b/>
                <w:sz w:val="21"/>
                <w:szCs w:val="21"/>
              </w:rPr>
              <w:t>删减理由：</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3"/>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w:t>
            </w:r>
            <w:r>
              <w:rPr>
                <w:rFonts w:ascii="宋体" w:hAnsi="宋体"/>
                <w:b/>
                <w:szCs w:val="21"/>
              </w:rPr>
              <w:t xml:space="preserve"> </w:t>
            </w:r>
            <w:r>
              <w:rPr>
                <w:rFonts w:hint="eastAsia" w:ascii="宋体" w:hAnsi="宋体"/>
                <w:b/>
                <w:szCs w:val="21"/>
              </w:rPr>
              <w:t>□未确定 法律法规要求的具体条款，</w:t>
            </w:r>
          </w:p>
          <w:p>
            <w:pPr>
              <w:pStyle w:val="13"/>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2018年</w:t>
            </w:r>
            <w:r>
              <w:rPr>
                <w:rFonts w:hint="eastAsia" w:ascii="宋体" w:hAnsi="宋体" w:cs="宋体"/>
                <w:sz w:val="21"/>
                <w:szCs w:val="21"/>
                <w:lang w:val="en-US" w:eastAsia="zh-CN"/>
              </w:rPr>
              <w:t>1</w:t>
            </w:r>
            <w:r>
              <w:rPr>
                <w:rFonts w:hint="eastAsia" w:ascii="宋体" w:hAnsi="宋体" w:eastAsia="宋体" w:cs="宋体"/>
                <w:sz w:val="21"/>
                <w:szCs w:val="21"/>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rPr>
                <w:rFonts w:ascii="宋体" w:hAnsi="宋体"/>
                <w:b/>
                <w:sz w:val="21"/>
                <w:szCs w:val="21"/>
              </w:rPr>
            </w:pPr>
            <w:r>
              <w:rPr>
                <w:rFonts w:hint="eastAsia" w:ascii="宋体"/>
                <w:b/>
                <w:color w:val="000000"/>
                <w:sz w:val="20"/>
              </w:rPr>
              <w:t xml:space="preserve"> </w:t>
            </w:r>
            <w:r>
              <w:rPr>
                <w:rFonts w:hint="eastAsia" w:ascii="宋体" w:hAnsi="宋体" w:cs="宋体"/>
                <w:sz w:val="21"/>
                <w:szCs w:val="21"/>
              </w:rPr>
              <w:t>办公面积1000平方左右，主要为研发、市场和行政部门使用</w:t>
            </w:r>
            <w:r>
              <w:rPr>
                <w:rFonts w:hint="eastAsia" w:ascii="宋体" w:hAnsi="宋体" w:cs="宋体"/>
                <w:sz w:val="21"/>
                <w:szCs w:val="21"/>
                <w:lang w:eastAsia="zh-CN"/>
              </w:rPr>
              <w:t>，</w:t>
            </w:r>
            <w:r>
              <w:rPr>
                <w:rFonts w:hint="eastAsia" w:ascii="宋体" w:hAnsi="宋体" w:cs="宋体"/>
                <w:color w:val="000000"/>
                <w:sz w:val="21"/>
                <w:szCs w:val="21"/>
              </w:rPr>
              <w:t>公司未建立库房。</w:t>
            </w:r>
            <w:r>
              <w:rPr>
                <w:rFonts w:hint="eastAsia" w:ascii="宋体" w:hAnsi="宋体" w:cs="宋体"/>
                <w:sz w:val="21"/>
                <w:szCs w:val="21"/>
              </w:rPr>
              <w:t>主要经营设备包括</w:t>
            </w:r>
            <w:r>
              <w:rPr>
                <w:rFonts w:hint="eastAsia" w:ascii="宋体" w:hAnsi="宋体" w:cs="宋体"/>
                <w:color w:val="000000"/>
                <w:sz w:val="21"/>
                <w:szCs w:val="21"/>
              </w:rPr>
              <w:t>：</w:t>
            </w:r>
            <w:r>
              <w:rPr>
                <w:rFonts w:hint="eastAsia" w:ascii="宋体" w:hAnsi="宋体"/>
                <w:sz w:val="21"/>
                <w:szCs w:val="21"/>
              </w:rPr>
              <w:t>办公设备、电脑、打印机、办公耗材等</w:t>
            </w:r>
            <w:r>
              <w:rPr>
                <w:rFonts w:hint="eastAsia" w:ascii="宋体" w:hAnsi="宋体" w:cs="宋体"/>
                <w:color w:val="000000"/>
                <w:sz w:val="21"/>
                <w:szCs w:val="21"/>
              </w:rPr>
              <w:t>，可以</w:t>
            </w:r>
            <w:r>
              <w:rPr>
                <w:rFonts w:hint="eastAsia" w:ascii="宋体" w:hAnsi="宋体" w:cs="宋体"/>
                <w:sz w:val="21"/>
                <w:szCs w:val="21"/>
              </w:rPr>
              <w:t>满足</w:t>
            </w:r>
            <w:r>
              <w:rPr>
                <w:rFonts w:hint="eastAsia" w:ascii="宋体" w:hAnsi="宋体" w:cs="宋体"/>
                <w:sz w:val="21"/>
                <w:szCs w:val="21"/>
                <w:lang w:eastAsia="zh-CN"/>
              </w:rPr>
              <w:t>计算机软件研发</w:t>
            </w:r>
            <w:r>
              <w:rPr>
                <w:rFonts w:hint="eastAsia" w:ascii="宋体" w:hAnsi="宋体" w:cs="宋体"/>
                <w:sz w:val="21"/>
                <w:szCs w:val="21"/>
              </w:rPr>
              <w:t>需要。行政部对办公室设备按月方式进行点检维护保养，并实施</w:t>
            </w:r>
            <w:r>
              <w:rPr>
                <w:rFonts w:hint="eastAsia" w:ascii="宋体" w:hAnsi="宋体" w:cs="宋体"/>
                <w:color w:val="000000"/>
                <w:sz w:val="21"/>
                <w:szCs w:val="21"/>
              </w:rPr>
              <w:t>。特种设备：</w:t>
            </w:r>
            <w:r>
              <w:rPr>
                <w:rFonts w:hint="eastAsia" w:ascii="宋体" w:hAnsi="宋体"/>
                <w:sz w:val="21"/>
                <w:szCs w:val="21"/>
              </w:rPr>
              <w:t>无</w:t>
            </w:r>
            <w:r>
              <w:rPr>
                <w:rFonts w:hint="eastAsia" w:ascii="宋体" w:hAnsi="宋体" w:cs="宋体"/>
                <w:color w:val="000000"/>
                <w:sz w:val="21"/>
                <w:szCs w:val="21"/>
              </w:rPr>
              <w:t>。公司未建立信息管理系统用于生产和服务。</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宋体" w:hAnsi="宋体" w:cs="宋体"/>
                <w:sz w:val="21"/>
                <w:szCs w:val="21"/>
              </w:rPr>
              <w:t>办公室内设备布置合理，通道畅通，照明设施齐全，均配备了消防设施等设施。办公室明亮，作业场所光线较充足。每月由行政部对工作环境进行定期检查。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ind w:firstLine="420" w:firstLineChars="200"/>
              <w:rPr>
                <w:rFonts w:hint="eastAsia" w:ascii="宋体" w:hAnsi="宋体"/>
                <w:b/>
                <w:sz w:val="21"/>
                <w:szCs w:val="21"/>
              </w:rPr>
            </w:pPr>
            <w:r>
              <w:rPr>
                <w:rFonts w:hint="eastAsia" w:ascii="宋体" w:hAnsi="宋体" w:cs="宋体"/>
                <w:sz w:val="21"/>
                <w:szCs w:val="21"/>
              </w:rPr>
              <w:t>技术部均按策划的要求配置了相应的检测设备，主要为测试软件及测试平台，包括：系统：Ubuntu操作系统，macos操作系统和windows操作系统，编辑器：Atom，浏览器：谷歌及火狐浏览器，辅助工具：浏览器自带的网页审查工具；测试软件：墨盒测试\redmine管理工具</w:t>
            </w:r>
            <w:r>
              <w:rPr>
                <w:rFonts w:hint="eastAsia" w:ascii="宋体" w:hAnsi="宋体"/>
                <w:sz w:val="21"/>
                <w:szCs w:val="21"/>
              </w:rPr>
              <w:t>等。</w:t>
            </w:r>
            <w:r>
              <w:rPr>
                <w:rFonts w:hint="eastAsia" w:ascii="宋体" w:hAnsi="宋体" w:cs="宋体"/>
                <w:sz w:val="21"/>
                <w:szCs w:val="21"/>
              </w:rPr>
              <w:t>均采用自己确认的方式进行控制。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w:t>
            </w:r>
            <w:r>
              <w:rPr>
                <w:rFonts w:hint="eastAsia" w:ascii="宋体" w:hAnsi="宋体" w:cs="宋体"/>
                <w:color w:val="000000"/>
                <w:sz w:val="21"/>
                <w:szCs w:val="21"/>
                <w:lang w:eastAsia="zh-CN"/>
              </w:rPr>
              <w:t>软件研发</w:t>
            </w:r>
            <w:r>
              <w:rPr>
                <w:rFonts w:hint="eastAsia" w:ascii="宋体" w:hAnsi="宋体" w:cs="宋体"/>
                <w:color w:val="000000"/>
                <w:sz w:val="21"/>
                <w:szCs w:val="21"/>
              </w:rPr>
              <w:t>检验控制规定，规定了公司各管理层次和技术部门在各阶段对</w:t>
            </w:r>
            <w:r>
              <w:rPr>
                <w:rFonts w:hint="eastAsia" w:ascii="宋体" w:hAnsi="宋体" w:cs="宋体"/>
                <w:color w:val="000000"/>
                <w:sz w:val="21"/>
                <w:szCs w:val="21"/>
                <w:lang w:eastAsia="zh-CN"/>
              </w:rPr>
              <w:t>产品</w:t>
            </w:r>
            <w:r>
              <w:rPr>
                <w:rFonts w:hint="eastAsia" w:ascii="宋体" w:hAnsi="宋体" w:cs="宋体"/>
                <w:color w:val="000000"/>
                <w:sz w:val="21"/>
                <w:szCs w:val="21"/>
              </w:rPr>
              <w:t>质量实施检查与验收的管理要求。内容基本具备全面性、系统性及可操作性。技术输出验收均在顾客处予以实现，范围包括：过程、最终方案、报告。以此保证持续向顾客稳定提供稳定合格的服务。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8. OHSMS</w:t>
            </w:r>
            <w:r>
              <w:rPr>
                <w:rFonts w:hint="eastAsia" w:ascii="宋体" w:hAnsi="宋体"/>
                <w:b/>
                <w:sz w:val="21"/>
                <w:szCs w:val="21"/>
              </w:rPr>
              <w:t>组织对不可接受风险实施控制的结果</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宋体" w:hAnsi="宋体"/>
                <w:b/>
                <w:sz w:val="21"/>
                <w:szCs w:val="21"/>
                <w:lang w:val="en-US" w:eastAsia="zh-CN"/>
              </w:rPr>
              <w:t>:无</w:t>
            </w:r>
          </w:p>
          <w:p>
            <w:pPr>
              <w:ind w:left="240" w:leftChars="100" w:firstLine="105" w:firstLineChars="50"/>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themeColor="text1"/>
                <w:sz w:val="21"/>
                <w:szCs w:val="21"/>
              </w:rPr>
              <w:t>通过2019年</w:t>
            </w:r>
            <w:r>
              <w:rPr>
                <w:rFonts w:hint="eastAsia" w:ascii="宋体" w:hAnsi="宋体" w:cs="宋体"/>
                <w:color w:val="000000" w:themeColor="text1"/>
                <w:sz w:val="21"/>
                <w:szCs w:val="21"/>
                <w:lang w:val="en-US" w:eastAsia="zh-CN"/>
              </w:rPr>
              <w:t>1</w:t>
            </w:r>
            <w:r>
              <w:rPr>
                <w:rFonts w:hint="eastAsia" w:ascii="宋体" w:hAnsi="宋体" w:cs="宋体"/>
                <w:color w:val="000000" w:themeColor="text1"/>
                <w:sz w:val="21"/>
                <w:szCs w:val="21"/>
              </w:rPr>
              <w:t>-</w:t>
            </w:r>
            <w:r>
              <w:rPr>
                <w:rFonts w:hint="eastAsia" w:ascii="宋体" w:hAnsi="宋体" w:cs="宋体"/>
                <w:color w:val="000000" w:themeColor="text1"/>
                <w:sz w:val="21"/>
                <w:szCs w:val="21"/>
                <w:lang w:val="en-US" w:eastAsia="zh-CN"/>
              </w:rPr>
              <w:t>6</w:t>
            </w:r>
            <w:r>
              <w:rPr>
                <w:rFonts w:hint="eastAsia" w:ascii="宋体" w:hAnsi="宋体" w:cs="宋体"/>
                <w:color w:val="000000" w:themeColor="text1"/>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3"/>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3"/>
              </w:numPr>
              <w:spacing w:line="240" w:lineRule="exact"/>
              <w:ind w:left="105" w:hanging="105" w:hangingChars="50"/>
              <w:rPr>
                <w:rFonts w:ascii="宋体" w:hAnsi="宋体"/>
                <w:b/>
                <w:sz w:val="21"/>
                <w:szCs w:val="21"/>
              </w:rPr>
            </w:pPr>
            <w:r>
              <w:rPr>
                <w:rFonts w:hint="eastAsia" w:ascii="宋体" w:hAnsi="宋体" w:cs="宋体"/>
                <w:color w:val="000000"/>
                <w:sz w:val="21"/>
                <w:szCs w:val="21"/>
              </w:rPr>
              <w:t>公司建立了《顾客满意度监视测量程序》，对顾客投诉处理及顾客满意度评价做了明确的规定，并按规定对顾客反馈及时处理，但在顾客反馈信息</w:t>
            </w:r>
            <w:r>
              <w:rPr>
                <w:rFonts w:hint="eastAsia" w:ascii="宋体" w:hAnsi="宋体" w:cs="宋体"/>
                <w:color w:val="000000" w:themeColor="text1"/>
                <w:sz w:val="21"/>
                <w:szCs w:val="21"/>
              </w:rPr>
              <w:t>的利用上不够，需要改善。近年来未发生重大顾客投诉和产品质量事故。顾客满意度调查按规定实施，2019年</w:t>
            </w:r>
            <w:r>
              <w:rPr>
                <w:rFonts w:hint="eastAsia" w:ascii="宋体" w:hAnsi="宋体" w:cs="宋体"/>
                <w:color w:val="000000" w:themeColor="text1"/>
                <w:sz w:val="21"/>
                <w:szCs w:val="21"/>
                <w:lang w:val="en-US" w:eastAsia="zh-CN"/>
              </w:rPr>
              <w:t>4</w:t>
            </w:r>
            <w:r>
              <w:rPr>
                <w:rFonts w:hint="eastAsia" w:ascii="宋体" w:hAnsi="宋体" w:cs="宋体"/>
                <w:color w:val="000000" w:themeColor="text1"/>
                <w:sz w:val="21"/>
                <w:szCs w:val="21"/>
              </w:rPr>
              <w:t>月实施，满意度评价98</w:t>
            </w:r>
            <w:r>
              <w:rPr>
                <w:rFonts w:hint="eastAsia" w:ascii="宋体" w:hAnsi="宋体" w:cs="宋体"/>
                <w:color w:val="000000" w:themeColor="text1"/>
                <w:sz w:val="21"/>
                <w:szCs w:val="21"/>
                <w:lang w:val="en-US" w:eastAsia="zh-CN"/>
              </w:rPr>
              <w:t>%</w:t>
            </w:r>
            <w:r>
              <w:rPr>
                <w:rFonts w:hint="eastAsia" w:ascii="宋体" w:hAnsi="宋体" w:cs="宋体"/>
                <w:color w:val="000000" w:themeColor="text1"/>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ind w:firstLine="420" w:firstLineChars="200"/>
              <w:rPr>
                <w:rFonts w:ascii="宋体" w:hAnsi="宋体"/>
                <w:b/>
                <w:sz w:val="21"/>
                <w:szCs w:val="21"/>
              </w:rPr>
            </w:pPr>
            <w:r>
              <w:rPr>
                <w:rFonts w:hint="eastAsia" w:ascii="宋体" w:hAnsi="宋体" w:cs="宋体"/>
                <w:color w:val="000000"/>
                <w:sz w:val="21"/>
                <w:szCs w:val="21"/>
              </w:rPr>
              <w:t>建立有《内部审核控制程序》，规定了内审频次一年一次</w:t>
            </w:r>
            <w:r>
              <w:rPr>
                <w:rFonts w:hint="eastAsia" w:ascii="宋体" w:hAnsi="宋体" w:cs="宋体"/>
                <w:color w:val="000000" w:themeColor="text1"/>
                <w:sz w:val="21"/>
                <w:szCs w:val="21"/>
              </w:rPr>
              <w:t>，内审时间：2019年</w:t>
            </w:r>
            <w:r>
              <w:rPr>
                <w:rFonts w:hint="eastAsia" w:ascii="宋体" w:hAnsi="宋体" w:cs="宋体"/>
                <w:color w:val="000000" w:themeColor="text1"/>
                <w:sz w:val="21"/>
                <w:szCs w:val="21"/>
                <w:lang w:val="en-US" w:eastAsia="zh-CN"/>
              </w:rPr>
              <w:t>6</w:t>
            </w:r>
            <w:r>
              <w:rPr>
                <w:rFonts w:hint="eastAsia" w:ascii="宋体" w:hAnsi="宋体" w:cs="宋体"/>
                <w:color w:val="000000" w:themeColor="text1"/>
                <w:sz w:val="21"/>
                <w:szCs w:val="21"/>
              </w:rPr>
              <w:t>月</w:t>
            </w:r>
            <w:r>
              <w:rPr>
                <w:rFonts w:hint="eastAsia" w:ascii="宋体" w:hAnsi="宋体" w:cs="宋体"/>
                <w:color w:val="000000" w:themeColor="text1"/>
                <w:sz w:val="21"/>
                <w:szCs w:val="21"/>
                <w:lang w:val="en-US" w:eastAsia="zh-CN"/>
              </w:rPr>
              <w:t>30</w:t>
            </w:r>
            <w:r>
              <w:rPr>
                <w:rFonts w:hint="eastAsia" w:ascii="宋体" w:hAnsi="宋体" w:cs="宋体"/>
                <w:color w:val="000000" w:themeColor="text1"/>
                <w:sz w:val="21"/>
                <w:szCs w:val="21"/>
              </w:rPr>
              <w:t>日，拟定了审核实施表，明确了内审范围，内审人员经培训合格上岗，能力满足要求，未出现审核本部门情况，内审不符合项1项，涉及</w:t>
            </w:r>
            <w:r>
              <w:rPr>
                <w:rFonts w:hint="eastAsia" w:ascii="宋体" w:hAnsi="宋体" w:cs="宋体"/>
                <w:color w:val="000000" w:themeColor="text1"/>
                <w:sz w:val="21"/>
                <w:szCs w:val="21"/>
                <w:lang w:eastAsia="zh-CN"/>
              </w:rPr>
              <w:t>行政</w:t>
            </w:r>
            <w:r>
              <w:rPr>
                <w:rFonts w:hint="eastAsia" w:ascii="宋体" w:hAnsi="宋体" w:cs="宋体"/>
                <w:color w:val="000000" w:themeColor="text1"/>
                <w:sz w:val="21"/>
                <w:szCs w:val="21"/>
              </w:rPr>
              <w:t>部，涉及标准</w:t>
            </w:r>
            <w:r>
              <w:rPr>
                <w:rFonts w:hint="eastAsia" w:ascii="宋体" w:hAnsi="宋体" w:cs="宋体"/>
                <w:color w:val="000000" w:themeColor="text1"/>
                <w:sz w:val="21"/>
                <w:szCs w:val="21"/>
                <w:lang w:val="en-US" w:eastAsia="zh-CN"/>
              </w:rPr>
              <w:t>7.2</w:t>
            </w:r>
            <w:r>
              <w:rPr>
                <w:rFonts w:hint="eastAsia" w:ascii="宋体" w:hAnsi="宋体" w:cs="宋体"/>
                <w:color w:val="000000" w:themeColor="text1"/>
                <w:sz w:val="21"/>
                <w:szCs w:val="21"/>
              </w:rPr>
              <w:t>条款，对</w:t>
            </w:r>
            <w:r>
              <w:rPr>
                <w:rFonts w:hint="eastAsia" w:ascii="宋体" w:hAnsi="宋体" w:cs="宋体"/>
                <w:color w:val="000000" w:themeColor="text1"/>
                <w:sz w:val="21"/>
                <w:szCs w:val="21"/>
                <w:lang w:eastAsia="zh-CN"/>
              </w:rPr>
              <w:t>人员培训</w:t>
            </w:r>
            <w:r>
              <w:rPr>
                <w:rFonts w:hint="eastAsia" w:ascii="宋体" w:hAnsi="宋体" w:cs="宋体"/>
                <w:color w:val="000000" w:themeColor="text1"/>
                <w:sz w:val="21"/>
                <w:szCs w:val="21"/>
              </w:rPr>
              <w:t>的管理，针对该不符合项，已及时采取纠正措施后，经内审员验证关闭。内审的有效性需要改善。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管理评审频次为一年一次</w:t>
            </w:r>
            <w:r>
              <w:rPr>
                <w:rFonts w:hint="eastAsia" w:ascii="宋体" w:hAnsi="宋体" w:cs="宋体"/>
                <w:color w:val="000000" w:themeColor="text1"/>
                <w:sz w:val="21"/>
                <w:szCs w:val="21"/>
              </w:rPr>
              <w:t>、本次管理评审于2019.7.</w:t>
            </w:r>
            <w:r>
              <w:rPr>
                <w:rFonts w:hint="eastAsia" w:ascii="宋体" w:hAnsi="宋体" w:cs="宋体"/>
                <w:color w:val="000000" w:themeColor="text1"/>
                <w:sz w:val="21"/>
                <w:szCs w:val="21"/>
                <w:lang w:val="en-US" w:eastAsia="zh-CN"/>
              </w:rPr>
              <w:t>1</w:t>
            </w:r>
            <w:r>
              <w:rPr>
                <w:rFonts w:hint="eastAsia" w:ascii="宋体" w:hAnsi="宋体" w:cs="宋体"/>
                <w:color w:val="000000" w:themeColor="text1"/>
                <w:sz w:val="21"/>
                <w:szCs w:val="21"/>
              </w:rPr>
              <w:t xml:space="preserve">0由总经理主持完成、提供主要输入材料有各部门总结，输入信息基本充分和满足要求。输出见“管理评审报告”, </w:t>
            </w:r>
            <w:r>
              <w:rPr>
                <w:rFonts w:hint="eastAsia" w:ascii="宋体" w:hAnsi="宋体" w:cs="宋体"/>
                <w:color w:val="000000"/>
                <w:sz w:val="21"/>
                <w:szCs w:val="21"/>
              </w:rPr>
              <w:t>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5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hint="eastAsia" w:ascii="宋体" w:hAnsi="宋体" w:eastAsia="宋体"/>
                <w:b/>
                <w:sz w:val="21"/>
                <w:szCs w:val="21"/>
                <w:lang w:val="en-US" w:eastAsia="zh-CN"/>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hanging="105" w:hangingChars="50"/>
              <w:rPr>
                <w:rFonts w:hint="eastAsia"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numPr>
                <w:ilvl w:val="0"/>
                <w:numId w:val="0"/>
              </w:numPr>
              <w:spacing w:line="240" w:lineRule="exact"/>
              <w:ind w:leftChars="-50" w:firstLine="422" w:firstLineChars="200"/>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numPr>
                <w:ilvl w:val="0"/>
                <w:numId w:val="0"/>
              </w:numPr>
              <w:spacing w:line="240" w:lineRule="exact"/>
              <w:rPr>
                <w:rFonts w:hint="eastAsia" w:ascii="宋体" w:hAnsi="宋体"/>
                <w:b/>
                <w:sz w:val="21"/>
                <w:szCs w:val="21"/>
              </w:rPr>
            </w:pP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：上</w:t>
            </w:r>
            <w:r>
              <w:rPr>
                <w:rFonts w:hint="eastAsia"/>
                <w:b/>
                <w:szCs w:val="21"/>
              </w:rPr>
              <w:t>次不符合为</w:t>
            </w:r>
            <w:r>
              <w:rPr>
                <w:rFonts w:hint="eastAsia"/>
                <w:b/>
                <w:szCs w:val="21"/>
                <w:lang w:val="en-US" w:eastAsia="zh-CN"/>
              </w:rPr>
              <w:t>7.1.5a）</w:t>
            </w:r>
            <w:r>
              <w:rPr>
                <w:rFonts w:hint="eastAsia"/>
                <w:b/>
                <w:szCs w:val="21"/>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color w:val="000000" w:themeColor="text1"/>
          <w:szCs w:val="21"/>
        </w:rPr>
      </w:pPr>
      <w:r>
        <w:rPr>
          <w:rFonts w:hint="eastAsia" w:ascii="宋体" w:hAnsi="宋体"/>
          <w:b/>
          <w:color w:val="000000" w:themeColor="text1"/>
          <w:szCs w:val="21"/>
        </w:rPr>
        <w:t>本</w:t>
      </w:r>
      <w:r>
        <w:rPr>
          <w:rFonts w:hint="eastAsia"/>
          <w:b/>
          <w:color w:val="000000" w:themeColor="text1"/>
          <w:sz w:val="26"/>
          <w:szCs w:val="26"/>
        </w:rPr>
        <w:t>次审核Q共开具不符合项报告项；其中</w:t>
      </w:r>
      <w:r>
        <w:rPr>
          <w:b/>
          <w:color w:val="000000" w:themeColor="text1"/>
          <w:sz w:val="26"/>
          <w:szCs w:val="26"/>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color w:val="000000" w:themeColor="text1"/>
          <w:sz w:val="26"/>
          <w:szCs w:val="26"/>
        </w:rPr>
        <w:t>严重不符合 0项，一般不符合 1项，观察项</w:t>
      </w:r>
      <w:r>
        <w:rPr>
          <w:rFonts w:hint="eastAsia"/>
          <w:b/>
          <w:color w:val="000000" w:themeColor="text1"/>
          <w:sz w:val="26"/>
          <w:szCs w:val="26"/>
          <w:lang w:val="en-US" w:eastAsia="zh-CN"/>
        </w:rPr>
        <w:t>0</w:t>
      </w:r>
      <w:r>
        <w:rPr>
          <w:rFonts w:hint="eastAsia"/>
          <w:b/>
          <w:color w:val="000000" w:themeColor="text1"/>
          <w:sz w:val="26"/>
          <w:szCs w:val="26"/>
        </w:rPr>
        <w:t>项。不符合项分布在 购销部 部门8.2.3条款，见不符合</w:t>
      </w:r>
      <w:r>
        <w:rPr>
          <w:rFonts w:hint="eastAsia" w:ascii="宋体" w:hAnsi="宋体"/>
          <w:b/>
          <w:color w:val="000000" w:themeColor="text1"/>
          <w:szCs w:val="21"/>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163" w:beforeLines="50" w:after="163"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ascii="宋体" w:hAnsi="宋体"/>
                <w:szCs w:val="21"/>
              </w:rPr>
              <w:t>成都迈思信息技术有限公司</w:t>
            </w:r>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r>
              <w:rPr>
                <w:rFonts w:hint="eastAsia" w:ascii="微软雅黑" w:hAnsi="微软雅黑" w:eastAsia="微软雅黑"/>
                <w:spacing w:val="14"/>
                <w:szCs w:val="24"/>
                <w:lang w:eastAsia="zh-CN"/>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2019年9月23日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rFonts w:hint="eastAsia"/>
          <w:b/>
          <w:sz w:val="21"/>
          <w:szCs w:val="21"/>
          <w:lang w:eastAsia="zh-CN"/>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w:t>
      </w:r>
      <w:r>
        <w:rPr>
          <w:rFonts w:hint="eastAsia"/>
          <w:b/>
          <w:sz w:val="21"/>
          <w:szCs w:val="21"/>
          <w:lang w:eastAsia="zh-CN"/>
        </w:rPr>
        <w:t>S (</w:t>
      </w:r>
      <w:r>
        <w:rPr>
          <w:rFonts w:hint="eastAsia"/>
          <w:b/>
          <w:sz w:val="21"/>
          <w:szCs w:val="21"/>
          <w:lang w:val="en-US" w:eastAsia="zh-CN"/>
        </w:rPr>
        <w:t>1</w:t>
      </w:r>
      <w:r>
        <w:rPr>
          <w:rFonts w:hint="eastAsia"/>
          <w:b/>
          <w:sz w:val="21"/>
          <w:szCs w:val="21"/>
          <w:lang w:eastAsia="zh-CN"/>
        </w:rPr>
        <w:t>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z w:val="21"/>
          <w:szCs w:val="21"/>
          <w:lang w:val="en-US" w:eastAsia="zh-CN"/>
        </w:rPr>
        <w:t xml:space="preserve">             </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1897" w:firstLineChars="900"/>
        <w:rPr>
          <w:rFonts w:hint="eastAsia"/>
          <w:b/>
          <w:sz w:val="21"/>
          <w:szCs w:val="21"/>
        </w:rPr>
      </w:pP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D8E44AD5"/>
    <w:multiLevelType w:val="singleLevel"/>
    <w:tmpl w:val="D8E44AD5"/>
    <w:lvl w:ilvl="0" w:tentative="0">
      <w:start w:val="3"/>
      <w:numFmt w:val="decimal"/>
      <w:lvlText w:val="%1."/>
      <w:lvlJc w:val="left"/>
      <w:pPr>
        <w:tabs>
          <w:tab w:val="left" w:pos="312"/>
        </w:tabs>
      </w:pPr>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1EEBFF49"/>
    <w:multiLevelType w:val="singleLevel"/>
    <w:tmpl w:val="1EEBFF49"/>
    <w:lvl w:ilvl="0" w:tentative="0">
      <w:start w:val="2"/>
      <w:numFmt w:val="decimal"/>
      <w:lvlText w:val="%1."/>
      <w:lvlJc w:val="left"/>
      <w:pPr>
        <w:tabs>
          <w:tab w:val="left" w:pos="312"/>
        </w:tabs>
      </w:pPr>
    </w:lvl>
  </w:abstractNum>
  <w:abstractNum w:abstractNumId="4">
    <w:nsid w:val="45014024"/>
    <w:multiLevelType w:val="singleLevel"/>
    <w:tmpl w:val="45014024"/>
    <w:lvl w:ilvl="0" w:tentative="0">
      <w:start w:val="8"/>
      <w:numFmt w:val="decimal"/>
      <w:lvlText w:val="%1."/>
      <w:lvlJc w:val="left"/>
      <w:pPr>
        <w:tabs>
          <w:tab w:val="left" w:pos="312"/>
        </w:tabs>
      </w:pPr>
    </w:lvl>
  </w:abstractNum>
  <w:abstractNum w:abstractNumId="5">
    <w:nsid w:val="688C3EB5"/>
    <w:multiLevelType w:val="singleLevel"/>
    <w:tmpl w:val="688C3EB5"/>
    <w:lvl w:ilvl="0" w:tentative="0">
      <w:start w:val="2"/>
      <w:numFmt w:val="decimal"/>
      <w:suff w:val="nothing"/>
      <w:lvlText w:val="%1、"/>
      <w:lvlJc w:val="left"/>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E2D01"/>
    <w:rsid w:val="0BC042EC"/>
    <w:rsid w:val="2D0471C3"/>
    <w:rsid w:val="45F53D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Hyperlink"/>
    <w:basedOn w:val="7"/>
    <w:semiHidden/>
    <w:unhideWhenUsed/>
    <w:qFormat/>
    <w:uiPriority w:val="99"/>
    <w:rPr>
      <w:color w:val="0000FF"/>
      <w:u w:val="single"/>
    </w:r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semiHidden/>
    <w:locked/>
    <w:uiPriority w:val="99"/>
    <w:rPr>
      <w:rFonts w:ascii="Times New Roman" w:hAnsi="Times New Roman" w:eastAsia="宋体" w:cs="Times New Roman"/>
      <w:sz w:val="18"/>
      <w:szCs w:val="18"/>
    </w:rPr>
  </w:style>
  <w:style w:type="character" w:customStyle="1" w:styleId="11">
    <w:name w:val="页眉 字符"/>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3</TotalTime>
  <ScaleCrop>false</ScaleCrop>
  <LinksUpToDate>false</LinksUpToDate>
  <CharactersWithSpaces>4387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2019-09-23T08:05:14Z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