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0145-2020-Q</w:t>
      </w:r>
      <w:bookmarkEnd w:id="0"/>
      <w:r>
        <w:rPr>
          <w:rFonts w:hint="eastAsia"/>
          <w:sz w:val="32"/>
          <w:szCs w:val="32"/>
          <w:u w:val="single"/>
          <w:lang w:val="en-US" w:eastAsia="zh-CN"/>
        </w:rPr>
        <w:t>F</w:t>
      </w:r>
      <w:r>
        <w:rPr>
          <w:rFonts w:hint="eastAsia"/>
          <w:sz w:val="32"/>
          <w:szCs w:val="32"/>
          <w:u w:val="single"/>
        </w:rPr>
        <w:t xml:space="preserve"> </w:t>
      </w:r>
    </w:p>
    <w:p>
      <w:pPr>
        <w:shd w:val="clea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hd w:val="clear"/>
        <w:jc w:val="center"/>
        <w:rPr>
          <w:sz w:val="32"/>
          <w:szCs w:val="32"/>
        </w:rPr>
      </w:pPr>
    </w:p>
    <w:p>
      <w:pPr>
        <w:shd w:val="clea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shd w:val="clear"/>
        <w:jc w:val="center"/>
        <w:rPr>
          <w:sz w:val="32"/>
          <w:szCs w:val="32"/>
        </w:rPr>
      </w:pPr>
    </w:p>
    <w:p>
      <w:pPr>
        <w:shd w:val="clea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赣州丰泰农业发展有限责任公司</w:t>
      </w:r>
      <w:bookmarkEnd w:id="1"/>
      <w:r>
        <w:rPr>
          <w:rFonts w:hint="eastAsia"/>
          <w:sz w:val="28"/>
          <w:szCs w:val="28"/>
          <w:u w:val="single"/>
        </w:rPr>
        <w:t xml:space="preserve"> </w:t>
      </w:r>
      <w:r>
        <w:rPr>
          <w:rFonts w:hint="eastAsia"/>
          <w:sz w:val="28"/>
          <w:szCs w:val="28"/>
        </w:rPr>
        <w:t xml:space="preserve"> </w:t>
      </w:r>
    </w:p>
    <w:p>
      <w:pPr>
        <w:shd w:val="clear"/>
        <w:rPr>
          <w:sz w:val="28"/>
          <w:szCs w:val="28"/>
        </w:rPr>
      </w:pPr>
    </w:p>
    <w:p>
      <w:pPr>
        <w:shd w:val="clear"/>
        <w:rPr>
          <w:sz w:val="28"/>
          <w:szCs w:val="28"/>
        </w:rPr>
      </w:pPr>
      <w:r>
        <w:rPr>
          <w:rFonts w:hint="eastAsia"/>
          <w:sz w:val="28"/>
          <w:szCs w:val="28"/>
        </w:rPr>
        <w:t>审核体系：</w:t>
      </w:r>
    </w:p>
    <w:p>
      <w:pPr>
        <w:shd w:val="clea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shd w:val="clea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shd w:val="clea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shd w:val="clea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shd w:val="clear"/>
        <w:jc w:val="left"/>
        <w:rPr>
          <w:sz w:val="28"/>
          <w:szCs w:val="28"/>
        </w:rPr>
      </w:pPr>
      <w:bookmarkStart w:id="5" w:name="F勾选"/>
      <w:r>
        <w:rPr>
          <w:rFonts w:hint="eastAsia"/>
          <w:sz w:val="28"/>
          <w:szCs w:val="28"/>
        </w:rPr>
        <w:t>■</w:t>
      </w:r>
      <w:bookmarkEnd w:id="5"/>
      <w:r>
        <w:rPr>
          <w:rFonts w:hint="eastAsia"/>
          <w:sz w:val="28"/>
          <w:szCs w:val="28"/>
        </w:rPr>
        <w:t>食品安全管理体系（FSMS）</w:t>
      </w:r>
    </w:p>
    <w:p>
      <w:pPr>
        <w:shd w:val="clea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shd w:val="clear"/>
        <w:jc w:val="left"/>
        <w:rPr>
          <w:sz w:val="28"/>
          <w:szCs w:val="28"/>
        </w:rPr>
      </w:pPr>
    </w:p>
    <w:p>
      <w:pPr>
        <w:pStyle w:val="13"/>
        <w:shd w:val="clear"/>
        <w:rPr>
          <w:sz w:val="28"/>
          <w:szCs w:val="28"/>
        </w:rPr>
      </w:pPr>
    </w:p>
    <w:p>
      <w:pPr>
        <w:shd w:val="clear"/>
        <w:jc w:val="center"/>
        <w:rPr>
          <w:sz w:val="32"/>
          <w:szCs w:val="32"/>
        </w:rPr>
      </w:pPr>
      <w:r>
        <w:rPr>
          <w:rFonts w:hint="eastAsia"/>
          <w:sz w:val="32"/>
          <w:szCs w:val="32"/>
        </w:rPr>
        <w:t>北京国标联合认证有限公司</w:t>
      </w:r>
    </w:p>
    <w:p>
      <w:pPr>
        <w:shd w:val="clea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numPr>
          <w:ilvl w:val="0"/>
          <w:numId w:val="1"/>
        </w:numPr>
        <w:shd w:val="clear"/>
        <w:rPr>
          <w:rFonts w:hint="eastAsia"/>
        </w:rPr>
      </w:pPr>
      <w:r>
        <w:rPr>
          <w:rFonts w:hint="eastAsia"/>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shd w:val="clear"/>
            </w:pPr>
            <w:r>
              <w:rPr>
                <w:rFonts w:hint="eastAsia"/>
              </w:rPr>
              <w:t>受审核方名称</w:t>
            </w:r>
          </w:p>
        </w:tc>
        <w:tc>
          <w:tcPr>
            <w:tcW w:w="8058" w:type="dxa"/>
            <w:gridSpan w:val="5"/>
          </w:tcPr>
          <w:p>
            <w:pPr>
              <w:shd w:val="clear"/>
            </w:pPr>
            <w:bookmarkStart w:id="7" w:name="组织名称Add1"/>
            <w:r>
              <w:t>赣州丰泰农业发展有限责任公司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shd w:val="clear"/>
            </w:pPr>
            <w:r>
              <w:rPr>
                <w:rFonts w:hint="eastAsia"/>
              </w:rPr>
              <w:t>注册地址</w:t>
            </w:r>
          </w:p>
        </w:tc>
        <w:tc>
          <w:tcPr>
            <w:tcW w:w="5045" w:type="dxa"/>
            <w:gridSpan w:val="3"/>
          </w:tcPr>
          <w:p>
            <w:pPr>
              <w:shd w:val="clear"/>
            </w:pPr>
            <w:bookmarkStart w:id="8" w:name="注册地址"/>
            <w:r>
              <w:t>江西省赣州市南康区横市镇增坑村新村</w:t>
            </w:r>
            <w:bookmarkEnd w:id="8"/>
          </w:p>
        </w:tc>
        <w:tc>
          <w:tcPr>
            <w:tcW w:w="1242" w:type="dxa"/>
            <w:vMerge w:val="restart"/>
            <w:vAlign w:val="center"/>
          </w:tcPr>
          <w:p>
            <w:pPr>
              <w:shd w:val="clear"/>
            </w:pPr>
            <w:r>
              <w:rPr>
                <w:rFonts w:hint="eastAsia"/>
              </w:rPr>
              <w:t>邮编</w:t>
            </w:r>
          </w:p>
        </w:tc>
        <w:tc>
          <w:tcPr>
            <w:tcW w:w="1771" w:type="dxa"/>
          </w:tcPr>
          <w:p>
            <w:pPr>
              <w:shd w:val="clear"/>
            </w:pPr>
            <w:bookmarkStart w:id="9" w:name="注册邮编"/>
            <w:r>
              <w:t>341400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shd w:val="clear"/>
            </w:pPr>
            <w:r>
              <w:rPr>
                <w:rFonts w:hint="eastAsia"/>
              </w:rPr>
              <w:t>经营地址</w:t>
            </w:r>
          </w:p>
        </w:tc>
        <w:tc>
          <w:tcPr>
            <w:tcW w:w="5045" w:type="dxa"/>
            <w:gridSpan w:val="3"/>
          </w:tcPr>
          <w:p>
            <w:pPr>
              <w:shd w:val="clear"/>
            </w:pPr>
            <w:bookmarkStart w:id="10" w:name="办公地址"/>
            <w:r>
              <w:t>江西省赣州市南康区横市镇增坑村新村</w:t>
            </w:r>
            <w:bookmarkEnd w:id="10"/>
          </w:p>
        </w:tc>
        <w:tc>
          <w:tcPr>
            <w:tcW w:w="1242" w:type="dxa"/>
            <w:vMerge w:val="continue"/>
            <w:vAlign w:val="center"/>
          </w:tcPr>
          <w:p>
            <w:pPr>
              <w:shd w:val="clear"/>
            </w:pPr>
          </w:p>
        </w:tc>
        <w:tc>
          <w:tcPr>
            <w:tcW w:w="1771" w:type="dxa"/>
          </w:tcPr>
          <w:p>
            <w:pPr>
              <w:shd w:val="clear"/>
            </w:pPr>
            <w:bookmarkStart w:id="11" w:name="办公邮编"/>
            <w:r>
              <w:t>341400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shd w:val="clear"/>
            </w:pPr>
            <w:r>
              <w:rPr>
                <w:rFonts w:hint="eastAsia"/>
              </w:rPr>
              <w:t>联系人</w:t>
            </w:r>
          </w:p>
        </w:tc>
        <w:tc>
          <w:tcPr>
            <w:tcW w:w="1552" w:type="dxa"/>
          </w:tcPr>
          <w:p>
            <w:pPr>
              <w:shd w:val="clear"/>
            </w:pPr>
            <w:bookmarkStart w:id="12" w:name="联系人"/>
            <w:r>
              <w:t>陈荣</w:t>
            </w:r>
            <w:bookmarkEnd w:id="12"/>
          </w:p>
        </w:tc>
        <w:tc>
          <w:tcPr>
            <w:tcW w:w="1313" w:type="dxa"/>
            <w:vAlign w:val="center"/>
          </w:tcPr>
          <w:p>
            <w:pPr>
              <w:shd w:val="clear"/>
            </w:pPr>
            <w:r>
              <w:rPr>
                <w:rFonts w:hint="eastAsia"/>
              </w:rPr>
              <w:t>电话.</w:t>
            </w:r>
          </w:p>
        </w:tc>
        <w:tc>
          <w:tcPr>
            <w:tcW w:w="2180" w:type="dxa"/>
            <w:vAlign w:val="center"/>
          </w:tcPr>
          <w:p>
            <w:pPr>
              <w:shd w:val="clear"/>
            </w:pPr>
            <w:bookmarkStart w:id="13" w:name="联系人电话"/>
            <w:r>
              <w:t>15079770888</w:t>
            </w:r>
            <w:bookmarkEnd w:id="13"/>
          </w:p>
        </w:tc>
        <w:tc>
          <w:tcPr>
            <w:tcW w:w="1242" w:type="dxa"/>
            <w:vAlign w:val="center"/>
          </w:tcPr>
          <w:p>
            <w:pPr>
              <w:shd w:val="clear"/>
            </w:pPr>
            <w:r>
              <w:rPr>
                <w:rFonts w:hint="eastAsia"/>
              </w:rPr>
              <w:t>传真</w:t>
            </w:r>
          </w:p>
        </w:tc>
        <w:tc>
          <w:tcPr>
            <w:tcW w:w="1771" w:type="dxa"/>
          </w:tcPr>
          <w:p>
            <w:pPr>
              <w:shd w:val="clear"/>
              <w:rPr>
                <w:rFonts w:hint="eastAsia" w:eastAsia="宋体"/>
                <w:lang w:eastAsia="zh-CN"/>
              </w:rPr>
            </w:pPr>
            <w:bookmarkStart w:id="14" w:name="联系人传真"/>
            <w:bookmarkEnd w:id="1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shd w:val="clear"/>
            </w:pPr>
            <w:r>
              <w:rPr>
                <w:rFonts w:hint="eastAsia"/>
              </w:rPr>
              <w:t>法人代表</w:t>
            </w:r>
          </w:p>
        </w:tc>
        <w:tc>
          <w:tcPr>
            <w:tcW w:w="1552" w:type="dxa"/>
          </w:tcPr>
          <w:p>
            <w:pPr>
              <w:shd w:val="clear"/>
            </w:pPr>
            <w:bookmarkStart w:id="15" w:name="法人"/>
            <w:r>
              <w:t>陈荣</w:t>
            </w:r>
            <w:bookmarkEnd w:id="15"/>
          </w:p>
        </w:tc>
        <w:tc>
          <w:tcPr>
            <w:tcW w:w="1313" w:type="dxa"/>
            <w:vAlign w:val="center"/>
          </w:tcPr>
          <w:p>
            <w:pPr>
              <w:shd w:val="clear"/>
            </w:pPr>
            <w:r>
              <w:rPr>
                <w:rFonts w:hint="eastAsia"/>
              </w:rPr>
              <w:t>管理者代表</w:t>
            </w:r>
          </w:p>
        </w:tc>
        <w:tc>
          <w:tcPr>
            <w:tcW w:w="2180" w:type="dxa"/>
          </w:tcPr>
          <w:p>
            <w:pPr>
              <w:shd w:val="clear"/>
            </w:pPr>
            <w:bookmarkStart w:id="16" w:name="管理者代表"/>
            <w:r>
              <w:t>朱剑霞</w:t>
            </w:r>
            <w:bookmarkEnd w:id="16"/>
          </w:p>
        </w:tc>
        <w:tc>
          <w:tcPr>
            <w:tcW w:w="1242" w:type="dxa"/>
          </w:tcPr>
          <w:p>
            <w:pPr>
              <w:shd w:val="clear"/>
            </w:pPr>
            <w:r>
              <w:rPr>
                <w:rFonts w:hint="eastAsia"/>
              </w:rPr>
              <w:t>邮箱</w:t>
            </w:r>
          </w:p>
        </w:tc>
        <w:tc>
          <w:tcPr>
            <w:tcW w:w="1771" w:type="dxa"/>
          </w:tcPr>
          <w:p>
            <w:pPr>
              <w:shd w:val="clear"/>
            </w:pPr>
            <w:bookmarkStart w:id="17" w:name="联系人邮箱"/>
            <w:r>
              <w:rPr>
                <w:b w:val="0"/>
                <w:bCs/>
                <w:sz w:val="21"/>
                <w:szCs w:val="21"/>
              </w:rPr>
              <w:t>363412960@qq.com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shd w:val="clear"/>
            </w:pPr>
            <w:r>
              <w:rPr>
                <w:rFonts w:hint="eastAsia"/>
                <w:highlight w:val="none"/>
              </w:rPr>
              <w:t>多班次说明</w:t>
            </w:r>
          </w:p>
        </w:tc>
        <w:tc>
          <w:tcPr>
            <w:tcW w:w="8058" w:type="dxa"/>
            <w:gridSpan w:val="5"/>
            <w:shd w:val="clear" w:color="auto" w:fill="auto"/>
          </w:tcPr>
          <w:p>
            <w:pPr>
              <w:shd w:val="clear"/>
              <w:rPr>
                <w:highlight w:val="cyan"/>
              </w:rPr>
            </w:pPr>
            <w:r>
              <w:rPr>
                <w:rFonts w:hint="eastAsia"/>
              </w:rPr>
              <w:t>受审核组织的班次：</w:t>
            </w:r>
            <w:r>
              <w:rPr>
                <w:rFonts w:hint="eastAsia"/>
              </w:rPr>
              <w:sym w:font="Wingdings 2" w:char="0052"/>
            </w:r>
            <w:r>
              <w:rPr>
                <w:rFonts w:hint="eastAsia"/>
              </w:rPr>
              <w:t>单班 □双班 □三班  □其他</w:t>
            </w:r>
          </w:p>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shd w:val="clear"/>
            </w:pPr>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shd w:val="clear"/>
            </w:pPr>
            <w:r>
              <w:rPr>
                <w:rFonts w:hint="eastAsia"/>
              </w:rPr>
              <w:t>生产/服务提供流程简图</w:t>
            </w:r>
          </w:p>
          <w:p>
            <w:pPr>
              <w:shd w:val="clear"/>
            </w:pPr>
          </w:p>
          <w:p>
            <w:pPr>
              <w:shd w:val="clear"/>
            </w:pPr>
          </w:p>
        </w:tc>
        <w:tc>
          <w:tcPr>
            <w:tcW w:w="8058" w:type="dxa"/>
            <w:gridSpan w:val="5"/>
            <w:shd w:val="clear" w:color="auto" w:fill="auto"/>
          </w:tcPr>
          <w:p>
            <w:pPr>
              <w:shd w:val="clear"/>
            </w:pPr>
            <w:r>
              <w:rPr>
                <w:rFonts w:hint="eastAsia" w:ascii="宋体"/>
                <w:color w:val="000000"/>
                <w:szCs w:val="21"/>
                <w:lang w:val="en-US" w:eastAsia="zh-CN"/>
              </w:rPr>
              <w:t>稻谷→验收→清理→去石→磁选→砻谷→谷壳分离→谷糙分离→碾米→磁选→碾米→磁选→抛光→磁选→白米分级→长度分级→色选→计量包装→入库</w:t>
            </w:r>
          </w:p>
        </w:tc>
      </w:tr>
    </w:tbl>
    <w:p>
      <w:pPr>
        <w:shd w:val="clear"/>
      </w:pPr>
    </w:p>
    <w:p>
      <w:pPr>
        <w:shd w:val="clear"/>
      </w:pPr>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shd w:val="clear"/>
            </w:pPr>
            <w:r>
              <w:rPr>
                <w:rFonts w:hint="eastAsia"/>
              </w:rPr>
              <w:t xml:space="preserve">审核日期 </w:t>
            </w:r>
          </w:p>
        </w:tc>
        <w:tc>
          <w:tcPr>
            <w:tcW w:w="7831" w:type="dxa"/>
            <w:gridSpan w:val="3"/>
            <w:tcMar>
              <w:left w:w="113" w:type="dxa"/>
            </w:tcMar>
          </w:tcPr>
          <w:p>
            <w:pPr>
              <w:shd w:val="clear"/>
              <w:rPr>
                <w:rFonts w:hint="default" w:eastAsia="宋体"/>
                <w:lang w:val="en-US" w:eastAsia="zh-CN"/>
              </w:rPr>
            </w:pPr>
            <w:r>
              <w:rPr>
                <w:rFonts w:hint="eastAsia"/>
              </w:rPr>
              <w:t xml:space="preserve"> </w:t>
            </w:r>
            <w:bookmarkStart w:id="18" w:name="审核日期"/>
            <w:r>
              <w:rPr>
                <w:rFonts w:hint="eastAsia"/>
              </w:rPr>
              <w:t>2021年08月31日 下午</w:t>
            </w:r>
            <w:r>
              <w:rPr>
                <w:rFonts w:hint="eastAsia"/>
                <w:lang w:val="en-US" w:eastAsia="zh-CN"/>
              </w:rPr>
              <w:t>13:00</w:t>
            </w:r>
            <w:r>
              <w:rPr>
                <w:rFonts w:hint="eastAsia"/>
              </w:rPr>
              <w:t>至2021年09月02日 上午</w:t>
            </w:r>
            <w:bookmarkEnd w:id="18"/>
            <w:r>
              <w:rPr>
                <w:rFonts w:hint="eastAsia"/>
                <w:lang w:val="en-US" w:eastAsia="zh-CN"/>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pPr>
              <w:shd w:val="clear"/>
            </w:pPr>
            <w:r>
              <w:rPr>
                <w:rFonts w:hint="eastAsia"/>
              </w:rPr>
              <w:t>审核目的</w:t>
            </w:r>
          </w:p>
        </w:tc>
        <w:tc>
          <w:tcPr>
            <w:tcW w:w="7831" w:type="dxa"/>
            <w:gridSpan w:val="3"/>
            <w:tcMar>
              <w:left w:w="113" w:type="dxa"/>
            </w:tcMar>
          </w:tcPr>
          <w:p>
            <w:pPr>
              <w:shd w:val="clear"/>
            </w:pPr>
            <w:bookmarkStart w:id="19" w:name="初审"/>
            <w:r>
              <w:rPr>
                <w:rFonts w:hint="eastAsia"/>
              </w:rPr>
              <w:t>■</w:t>
            </w:r>
            <w:bookmarkEnd w:id="19"/>
            <w:r>
              <w:rPr>
                <w:rFonts w:hint="eastAsia"/>
              </w:rPr>
              <w:t>初审二阶段：评价组织管理体系建立、实施运行的符合性及有效性，以确定是否推荐认证注册。</w:t>
            </w:r>
          </w:p>
          <w:p>
            <w:pPr>
              <w:shd w:val="clear"/>
            </w:pPr>
            <w:bookmarkStart w:id="20" w:name="监督勾选"/>
            <w:r>
              <w:rPr>
                <w:rFonts w:hint="eastAsia"/>
              </w:rPr>
              <w:t>□</w:t>
            </w:r>
            <w:bookmarkEnd w:id="20"/>
            <w:r>
              <w:rPr>
                <w:rFonts w:hint="eastAsia"/>
              </w:rPr>
              <w:t>监督审核：评价组织管理体系的持续符合性和有效性，以确定是否推荐保持认证证书。</w:t>
            </w:r>
          </w:p>
          <w:p>
            <w:pPr>
              <w:shd w:val="clear"/>
            </w:pPr>
            <w:bookmarkStart w:id="21" w:name="再认证勾选"/>
            <w:r>
              <w:rPr>
                <w:rFonts w:hint="eastAsia"/>
              </w:rPr>
              <w:t>□</w:t>
            </w:r>
            <w:bookmarkEnd w:id="21"/>
            <w:r>
              <w:rPr>
                <w:rFonts w:hint="eastAsia"/>
              </w:rPr>
              <w:t>再认证：评价组织管理体系整体的持续符合性和有效性，以确定是否推荐更新认证并换发认证证书。</w:t>
            </w:r>
          </w:p>
          <w:p>
            <w:pPr>
              <w:shd w:val="clear"/>
            </w:pPr>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pPr>
              <w:shd w:val="clear"/>
            </w:pP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99" w:hRule="exact"/>
        </w:trPr>
        <w:tc>
          <w:tcPr>
            <w:tcW w:w="1632" w:type="dxa"/>
            <w:gridSpan w:val="2"/>
          </w:tcPr>
          <w:p>
            <w:pPr>
              <w:shd w:val="clear"/>
            </w:pPr>
            <w:r>
              <w:rPr>
                <w:rFonts w:hint="eastAsia"/>
              </w:rPr>
              <w:t>审核准则</w:t>
            </w:r>
          </w:p>
          <w:p>
            <w:pPr>
              <w:shd w:val="clear"/>
            </w:pPr>
          </w:p>
        </w:tc>
        <w:tc>
          <w:tcPr>
            <w:tcW w:w="7831" w:type="dxa"/>
            <w:gridSpan w:val="3"/>
            <w:tcMar>
              <w:left w:w="113" w:type="dxa"/>
            </w:tcMar>
          </w:tcPr>
          <w:p>
            <w:pPr>
              <w:shd w:val="clear"/>
            </w:pPr>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r>
              <w:rPr>
                <w:rFonts w:hint="eastAsia"/>
              </w:rPr>
              <w:t xml:space="preserve">    </w:t>
            </w:r>
          </w:p>
          <w:p>
            <w:pPr>
              <w:shd w:val="clea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ISO45001：2018</w:t>
            </w:r>
          </w:p>
          <w:p>
            <w:pPr>
              <w:rPr>
                <w:rFonts w:hint="eastAsia" w:ascii="宋体" w:hAnsi="宋体"/>
                <w:b/>
                <w:sz w:val="21"/>
                <w:szCs w:val="21"/>
                <w:lang w:val="en-US" w:eastAsia="zh-CN"/>
              </w:rPr>
            </w:pPr>
            <w:r>
              <w:rPr>
                <w:rFonts w:hint="eastAsia"/>
                <w:lang w:val="de-DE"/>
              </w:rPr>
              <w:t>FSMS：</w:t>
            </w:r>
            <w:r>
              <w:rPr>
                <w:rFonts w:hint="eastAsia"/>
              </w:rPr>
              <w:t xml:space="preserve"> </w:t>
            </w:r>
            <w:r>
              <w:rPr>
                <w:rFonts w:hint="eastAsia" w:ascii="宋体" w:hAnsi="宋体"/>
                <w:b/>
                <w:color w:val="000000"/>
                <w:szCs w:val="21"/>
                <w:lang w:val="de-DE"/>
              </w:rPr>
              <w:t>■ ISO 22000-2018</w:t>
            </w:r>
            <w:r>
              <w:rPr>
                <w:rFonts w:hint="eastAsia" w:ascii="宋体" w:hAnsi="宋体"/>
                <w:b/>
                <w:sz w:val="21"/>
                <w:szCs w:val="21"/>
                <w:lang w:val="en-US" w:eastAsia="zh-CN"/>
              </w:rPr>
              <w:t>&amp;CCAA 0001-2014(CNCA/CTS 0006-2008A) 《食品</w:t>
            </w:r>
          </w:p>
          <w:p>
            <w:pPr>
              <w:rPr>
                <w:lang w:val="de-DE"/>
              </w:rPr>
            </w:pPr>
            <w:r>
              <w:rPr>
                <w:rFonts w:hint="eastAsia" w:ascii="宋体" w:hAnsi="宋体"/>
                <w:b/>
                <w:sz w:val="21"/>
                <w:szCs w:val="21"/>
                <w:lang w:val="en-US" w:eastAsia="zh-CN"/>
              </w:rPr>
              <w:t>安全管理体系 谷物加工企业要求》</w:t>
            </w:r>
            <w:r>
              <w:rPr>
                <w:rFonts w:hint="eastAsia"/>
                <w:lang w:val="de-DE"/>
              </w:rPr>
              <w:t xml:space="preserve">                </w:t>
            </w:r>
          </w:p>
          <w:p>
            <w:pPr>
              <w:shd w:val="clea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w:t>
            </w:r>
            <w:r>
              <w:rPr>
                <w:rFonts w:hint="eastAsia"/>
              </w:rPr>
              <w:t xml:space="preserve"> </w:t>
            </w:r>
            <w:r>
              <w:rPr>
                <w:rFonts w:hint="eastAsia"/>
                <w:lang w:val="de-DE"/>
              </w:rPr>
              <w:t>□ GB 14881-2013 □《危害分析与关键控制点（HACCP体系）认证补充要求 1.0》</w:t>
            </w:r>
          </w:p>
          <w:p>
            <w:pPr>
              <w:shd w:val="clear"/>
            </w:pPr>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pPr>
              <w:shd w:val="clear"/>
            </w:pPr>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pPr>
              <w:shd w:val="clear"/>
            </w:pPr>
            <w:r>
              <w:rPr>
                <w:rFonts w:hint="eastAsia"/>
              </w:rPr>
              <w:t>审核方式</w:t>
            </w:r>
          </w:p>
        </w:tc>
        <w:tc>
          <w:tcPr>
            <w:tcW w:w="7831" w:type="dxa"/>
            <w:gridSpan w:val="3"/>
            <w:tcMar>
              <w:left w:w="113" w:type="dxa"/>
            </w:tcMar>
            <w:vAlign w:val="center"/>
          </w:tcPr>
          <w:p>
            <w:pPr>
              <w:shd w:val="clear"/>
            </w:pPr>
            <w:r>
              <w:rPr>
                <w:rFonts w:hint="eastAsia"/>
              </w:rPr>
              <w:t xml:space="preserve">□单一体系审核    </w:t>
            </w:r>
            <w:r>
              <w:rPr>
                <w:rFonts w:hint="eastAsia"/>
              </w:rPr>
              <w:sym w:font="Wingdings 2" w:char="00A3"/>
            </w:r>
            <w:r>
              <w:rPr>
                <w:rFonts w:hint="eastAsia"/>
              </w:rPr>
              <w:t xml:space="preserve">结合审核   </w:t>
            </w:r>
            <w:r>
              <w:rPr>
                <w:rFonts w:hint="eastAsia"/>
              </w:rPr>
              <w:sym w:font="Wingdings 2" w:char="0052"/>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shd w:val="clear"/>
            </w:pPr>
            <w:r>
              <w:rPr>
                <w:rFonts w:hint="eastAsia" w:ascii="宋体" w:hAnsi="宋体" w:cs="宋体"/>
                <w:color w:val="000000"/>
                <w:kern w:val="0"/>
                <w:szCs w:val="21"/>
              </w:rPr>
              <w:t>审核方法</w:t>
            </w:r>
          </w:p>
        </w:tc>
        <w:tc>
          <w:tcPr>
            <w:tcW w:w="7831" w:type="dxa"/>
            <w:gridSpan w:val="3"/>
            <w:tcMar>
              <w:left w:w="113" w:type="dxa"/>
            </w:tcMar>
            <w:vAlign w:val="bottom"/>
          </w:tcPr>
          <w:p>
            <w:pPr>
              <w:widowControl/>
              <w:shd w:val="clear"/>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shd w:val="clear"/>
            </w:pPr>
            <w:r>
              <w:rPr>
                <w:rFonts w:hint="eastAsia"/>
              </w:rPr>
              <w:t>审核类型</w:t>
            </w:r>
          </w:p>
        </w:tc>
        <w:tc>
          <w:tcPr>
            <w:tcW w:w="7831" w:type="dxa"/>
            <w:gridSpan w:val="3"/>
            <w:tcMar>
              <w:left w:w="113" w:type="dxa"/>
            </w:tcMar>
          </w:tcPr>
          <w:p>
            <w:pPr>
              <w:shd w:val="clear"/>
            </w:pPr>
            <w:bookmarkStart w:id="28" w:name="二阶段勾选"/>
            <w:r>
              <w:rPr>
                <w:rFonts w:hint="eastAsia"/>
              </w:rPr>
              <w:t>■</w:t>
            </w:r>
            <w:bookmarkEnd w:id="28"/>
            <w:r>
              <w:rPr>
                <w:rFonts w:hint="eastAsia"/>
              </w:rPr>
              <w:t xml:space="preserve">初审二阶段  </w:t>
            </w:r>
            <w:bookmarkStart w:id="29" w:name="监督勾选Add1"/>
            <w:r>
              <w:rPr>
                <w:rFonts w:hint="eastAsia"/>
              </w:rPr>
              <w:t>□</w:t>
            </w:r>
            <w:bookmarkEnd w:id="29"/>
            <w:r>
              <w:rPr>
                <w:rFonts w:hint="eastAsia"/>
              </w:rPr>
              <w:t xml:space="preserve">监督 第 </w:t>
            </w:r>
            <w:bookmarkStart w:id="30" w:name="监督次数"/>
            <w:bookmarkEnd w:id="30"/>
            <w:r>
              <w:rPr>
                <w:rFonts w:hint="eastAsia"/>
              </w:rPr>
              <w:t xml:space="preserve"> 次监督审核  </w:t>
            </w:r>
            <w:bookmarkStart w:id="31" w:name="再认证勾选Add1"/>
            <w:r>
              <w:rPr>
                <w:rFonts w:hint="eastAsia"/>
              </w:rPr>
              <w:t>□</w:t>
            </w:r>
            <w:bookmarkEnd w:id="31"/>
            <w:r>
              <w:rPr>
                <w:rFonts w:hint="eastAsia"/>
              </w:rPr>
              <w:t xml:space="preserve">再认证 </w:t>
            </w:r>
            <w:bookmarkStart w:id="32" w:name="扩项勾选Add1"/>
            <w:r>
              <w:rPr>
                <w:rFonts w:hint="eastAsia"/>
              </w:rPr>
              <w:t>□</w:t>
            </w:r>
            <w:bookmarkEnd w:id="32"/>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shd w:val="clear"/>
              <w:tabs>
                <w:tab w:val="left" w:pos="4285"/>
              </w:tabs>
              <w:rPr>
                <w:rFonts w:cs="Arial"/>
                <w:b w:val="0"/>
                <w:bCs w:val="0"/>
                <w:color w:val="0000FF"/>
                <w:szCs w:val="21"/>
              </w:rPr>
            </w:pPr>
            <w:r>
              <w:rPr>
                <w:rFonts w:hint="eastAsia" w:cs="Arial"/>
                <w:b w:val="0"/>
                <w:bCs w:val="0"/>
                <w:color w:val="0000FF"/>
                <w:szCs w:val="21"/>
              </w:rPr>
              <w:t>审核地址（含远程）</w:t>
            </w:r>
          </w:p>
        </w:tc>
        <w:tc>
          <w:tcPr>
            <w:tcW w:w="7831" w:type="dxa"/>
            <w:gridSpan w:val="3"/>
            <w:tcMar>
              <w:left w:w="113" w:type="dxa"/>
            </w:tcMar>
          </w:tcPr>
          <w:p>
            <w:pPr>
              <w:shd w:val="clear"/>
              <w:rPr>
                <w:rFonts w:hint="eastAsia" w:ascii="宋体" w:eastAsia="宋体"/>
                <w:b w:val="0"/>
                <w:bCs w:val="0"/>
                <w:color w:val="0000FF"/>
                <w:szCs w:val="21"/>
                <w:lang w:val="en-US" w:eastAsia="zh-CN"/>
              </w:rPr>
            </w:pPr>
            <w:r>
              <w:rPr>
                <w:rFonts w:hint="eastAsia" w:ascii="宋体"/>
                <w:b w:val="0"/>
                <w:bCs w:val="0"/>
                <w:color w:val="0000FF"/>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shd w:val="clear"/>
              <w:rPr>
                <w:rFonts w:ascii="宋体"/>
                <w:b w:val="0"/>
                <w:bCs w:val="0"/>
                <w:color w:val="0000FF"/>
                <w:szCs w:val="21"/>
              </w:rPr>
            </w:pPr>
            <w:r>
              <w:rPr>
                <w:rFonts w:hint="eastAsia" w:ascii="宋体"/>
                <w:b w:val="0"/>
                <w:bCs w:val="0"/>
                <w:color w:val="0000FF"/>
                <w:szCs w:val="21"/>
              </w:rPr>
              <w:t>远程审核方式</w:t>
            </w:r>
            <w:r>
              <w:rPr>
                <w:rFonts w:hint="eastAsia" w:ascii="宋体"/>
                <w:b w:val="0"/>
                <w:bCs w:val="0"/>
                <w:color w:val="0000FF"/>
                <w:szCs w:val="21"/>
                <w:lang w:val="en-US" w:eastAsia="zh-CN"/>
              </w:rPr>
              <w:t>不适用</w:t>
            </w:r>
          </w:p>
        </w:tc>
        <w:tc>
          <w:tcPr>
            <w:tcW w:w="7831" w:type="dxa"/>
            <w:gridSpan w:val="3"/>
            <w:tcMar>
              <w:left w:w="113" w:type="dxa"/>
            </w:tcMar>
            <w:vAlign w:val="bottom"/>
          </w:tcPr>
          <w:p>
            <w:pPr>
              <w:shd w:val="clear"/>
              <w:rPr>
                <w:rFonts w:ascii="宋体"/>
                <w:b w:val="0"/>
                <w:bCs w:val="0"/>
                <w:color w:val="0000FF"/>
                <w:szCs w:val="21"/>
              </w:rPr>
            </w:pPr>
            <w:r>
              <w:rPr>
                <w:rFonts w:hint="eastAsia" w:ascii="宋体"/>
                <w:b w:val="0"/>
                <w:bCs w:val="0"/>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shd w:val="clear"/>
              <w:rPr>
                <w:rFonts w:ascii="宋体"/>
                <w:b w:val="0"/>
                <w:bCs w:val="0"/>
                <w:color w:val="0000FF"/>
                <w:szCs w:val="21"/>
              </w:rPr>
            </w:pPr>
            <w:r>
              <w:rPr>
                <w:rFonts w:hint="eastAsia" w:ascii="宋体"/>
                <w:b w:val="0"/>
                <w:bCs w:val="0"/>
                <w:color w:val="0000FF"/>
                <w:szCs w:val="21"/>
              </w:rPr>
              <w:t>信息安全的控制</w:t>
            </w:r>
          </w:p>
        </w:tc>
        <w:tc>
          <w:tcPr>
            <w:tcW w:w="7831" w:type="dxa"/>
            <w:gridSpan w:val="3"/>
            <w:tcMar>
              <w:left w:w="113" w:type="dxa"/>
            </w:tcMar>
            <w:vAlign w:val="bottom"/>
          </w:tcPr>
          <w:p>
            <w:pPr>
              <w:shd w:val="clear"/>
              <w:rPr>
                <w:rFonts w:ascii="宋体"/>
                <w:b w:val="0"/>
                <w:bCs w:val="0"/>
                <w:color w:val="0000FF"/>
                <w:szCs w:val="21"/>
              </w:rPr>
            </w:pPr>
            <w:r>
              <w:rPr>
                <w:rFonts w:hint="eastAsia" w:ascii="宋体"/>
                <w:b w:val="0"/>
                <w:bCs w:val="0"/>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shd w:val="clear"/>
              <w:rPr>
                <w:rFonts w:ascii="宋体"/>
                <w:b w:val="0"/>
                <w:bCs w:val="0"/>
                <w:color w:val="0000FF"/>
                <w:szCs w:val="21"/>
              </w:rPr>
            </w:pPr>
            <w:r>
              <w:rPr>
                <w:rFonts w:hint="eastAsia" w:ascii="宋体"/>
                <w:b w:val="0"/>
                <w:bCs w:val="0"/>
                <w:color w:val="0000FF"/>
                <w:szCs w:val="21"/>
              </w:rPr>
              <w:t>远程审核资源</w:t>
            </w:r>
          </w:p>
        </w:tc>
        <w:tc>
          <w:tcPr>
            <w:tcW w:w="7831" w:type="dxa"/>
            <w:gridSpan w:val="3"/>
            <w:tcMar>
              <w:left w:w="113" w:type="dxa"/>
            </w:tcMar>
            <w:vAlign w:val="bottom"/>
          </w:tcPr>
          <w:p>
            <w:pPr>
              <w:shd w:val="clear"/>
              <w:rPr>
                <w:rFonts w:ascii="宋体"/>
                <w:b w:val="0"/>
                <w:bCs w:val="0"/>
                <w:color w:val="0000FF"/>
                <w:szCs w:val="21"/>
              </w:rPr>
            </w:pPr>
            <w:r>
              <w:rPr>
                <w:rFonts w:hint="eastAsia" w:ascii="宋体"/>
                <w:b w:val="0"/>
                <w:bCs w:val="0"/>
                <w:color w:val="0000FF"/>
                <w:szCs w:val="21"/>
              </w:rPr>
              <w:t>□网络 □ 智能手机 □手持设备 □笔记本电脑 □台式电脑 □无人机 □摄像机 □可穿戴技术 □人工智能 □其他</w:t>
            </w:r>
          </w:p>
          <w:p>
            <w:pPr>
              <w:shd w:val="clear"/>
              <w:rPr>
                <w:rFonts w:ascii="宋体"/>
                <w:b w:val="0"/>
                <w:bCs w:val="0"/>
                <w:color w:val="0000FF"/>
                <w:szCs w:val="21"/>
              </w:rPr>
            </w:pPr>
          </w:p>
          <w:p>
            <w:pPr>
              <w:shd w:val="clear"/>
              <w:rPr>
                <w:rFonts w:ascii="宋体"/>
                <w:b w:val="0"/>
                <w:bCs w:val="0"/>
                <w:color w:val="0000FF"/>
                <w:szCs w:val="21"/>
              </w:rPr>
            </w:pPr>
          </w:p>
          <w:p>
            <w:pPr>
              <w:shd w:val="clear"/>
              <w:rPr>
                <w:rFonts w:ascii="宋体"/>
                <w:b w:val="0"/>
                <w:bCs w:val="0"/>
                <w:color w:val="0000FF"/>
                <w:szCs w:val="21"/>
              </w:rPr>
            </w:pPr>
          </w:p>
          <w:p>
            <w:pPr>
              <w:shd w:val="clear"/>
              <w:rPr>
                <w:rFonts w:ascii="宋体"/>
                <w:b w:val="0"/>
                <w:bCs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shd w:val="clear"/>
            </w:pPr>
            <w:r>
              <w:rPr>
                <w:rFonts w:hint="eastAsia"/>
              </w:rPr>
              <w:t>审核范围</w:t>
            </w:r>
          </w:p>
          <w:p>
            <w:pPr>
              <w:shd w:val="clear"/>
            </w:pPr>
          </w:p>
        </w:tc>
        <w:tc>
          <w:tcPr>
            <w:tcW w:w="5625" w:type="dxa"/>
            <w:gridSpan w:val="3"/>
            <w:vMerge w:val="restart"/>
            <w:vAlign w:val="center"/>
          </w:tcPr>
          <w:p>
            <w:pPr>
              <w:shd w:val="clear"/>
            </w:pPr>
            <w:bookmarkStart w:id="33" w:name="审核范围"/>
            <w:r>
              <w:t>Q：大米加工（限许可范围内）</w:t>
            </w:r>
          </w:p>
          <w:p>
            <w:pPr>
              <w:shd w:val="clear"/>
            </w:pPr>
            <w:r>
              <w:t>F：位于江西省赣州市南康区横市镇增坑村新村赣州丰泰农业发展有限责任公司生产车间大米的加工</w:t>
            </w:r>
            <w:bookmarkEnd w:id="33"/>
          </w:p>
        </w:tc>
        <w:tc>
          <w:tcPr>
            <w:tcW w:w="3215" w:type="dxa"/>
            <w:vAlign w:val="center"/>
          </w:tcPr>
          <w:p>
            <w:pPr>
              <w:shd w:val="clea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623" w:type="dxa"/>
            <w:vMerge w:val="continue"/>
            <w:tcBorders>
              <w:bottom w:val="single" w:color="auto" w:sz="4" w:space="0"/>
            </w:tcBorders>
            <w:vAlign w:val="center"/>
          </w:tcPr>
          <w:p>
            <w:pPr>
              <w:shd w:val="clear"/>
            </w:pPr>
          </w:p>
        </w:tc>
        <w:tc>
          <w:tcPr>
            <w:tcW w:w="5625" w:type="dxa"/>
            <w:gridSpan w:val="3"/>
            <w:vMerge w:val="continue"/>
            <w:tcBorders>
              <w:bottom w:val="single" w:color="auto" w:sz="4" w:space="0"/>
            </w:tcBorders>
            <w:vAlign w:val="center"/>
          </w:tcPr>
          <w:p>
            <w:pPr>
              <w:shd w:val="clear"/>
            </w:pPr>
          </w:p>
        </w:tc>
        <w:tc>
          <w:tcPr>
            <w:tcW w:w="3215" w:type="dxa"/>
            <w:tcBorders>
              <w:bottom w:val="single" w:color="auto" w:sz="4" w:space="0"/>
            </w:tcBorders>
            <w:vAlign w:val="center"/>
          </w:tcPr>
          <w:p>
            <w:pPr>
              <w:shd w:val="clear"/>
            </w:pPr>
            <w:bookmarkStart w:id="34" w:name="专业代码"/>
            <w:r>
              <w:t>Q：03.06.01</w:t>
            </w:r>
          </w:p>
          <w:p>
            <w:pPr>
              <w:shd w:val="clear"/>
            </w:pPr>
            <w:r>
              <w:t>F：CIV-1</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shd w:val="clear"/>
            </w:pPr>
            <w:r>
              <w:rPr>
                <w:rFonts w:hint="eastAsia"/>
              </w:rPr>
              <w:t>不适用ISO9001的条款</w:t>
            </w:r>
          </w:p>
        </w:tc>
        <w:tc>
          <w:tcPr>
            <w:tcW w:w="7831" w:type="dxa"/>
            <w:gridSpan w:val="3"/>
          </w:tcPr>
          <w:p>
            <w:pPr>
              <w:shd w:val="clea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shd w:val="clear"/>
            </w:pPr>
            <w:r>
              <w:rPr>
                <w:rFonts w:hint="eastAsia"/>
              </w:rPr>
              <w:t>不适用的理由（可多选）</w:t>
            </w:r>
          </w:p>
        </w:tc>
        <w:tc>
          <w:tcPr>
            <w:tcW w:w="7831" w:type="dxa"/>
            <w:gridSpan w:val="3"/>
            <w:vAlign w:val="center"/>
          </w:tcPr>
          <w:p>
            <w:pPr>
              <w:shd w:val="clear"/>
            </w:pPr>
            <w:r>
              <w:rPr>
                <w:rFonts w:hint="eastAsia"/>
              </w:rPr>
              <w:t xml:space="preserve">□受审核组织没有设计开发的责任    </w:t>
            </w:r>
          </w:p>
          <w:p>
            <w:pPr>
              <w:shd w:val="clear"/>
            </w:pPr>
            <w:r>
              <w:rPr>
                <w:rFonts w:hint="eastAsia"/>
              </w:rPr>
              <w:t xml:space="preserve">□受审核组织没有设计开发的能力   </w:t>
            </w:r>
          </w:p>
          <w:p>
            <w:pPr>
              <w:shd w:val="clear"/>
            </w:pPr>
            <w:r>
              <w:rPr>
                <w:rFonts w:hint="eastAsia"/>
              </w:rPr>
              <w:t>□受审核组织没有设计开发修改的权力</w:t>
            </w:r>
          </w:p>
          <w:p>
            <w:pPr>
              <w:shd w:val="clear"/>
            </w:pPr>
            <w:r>
              <w:rPr>
                <w:rFonts w:hint="eastAsia"/>
              </w:rPr>
              <w:t>□受审核组织按照顾客图纸和合同要求提供生产和服务</w:t>
            </w:r>
          </w:p>
          <w:p>
            <w:pPr>
              <w:shd w:val="clear"/>
            </w:pPr>
            <w:r>
              <w:rPr>
                <w:rFonts w:hint="eastAsia"/>
              </w:rPr>
              <w:t>□受审核组织按照公司总部的技术要求提供生产和服务</w:t>
            </w:r>
          </w:p>
          <w:p>
            <w:pPr>
              <w:shd w:val="clear"/>
            </w:pPr>
            <w:r>
              <w:rPr>
                <w:rFonts w:hint="eastAsia"/>
              </w:rPr>
              <w:sym w:font="Wingdings 2" w:char="0052"/>
            </w:r>
            <w:r>
              <w:rPr>
                <w:rFonts w:hint="eastAsia"/>
              </w:rPr>
              <w:t>受审核组织按照传统工艺提供生产和服务</w:t>
            </w:r>
          </w:p>
          <w:p>
            <w:pPr>
              <w:shd w:val="clear"/>
            </w:pPr>
            <w:r>
              <w:rPr>
                <w:rFonts w:hint="eastAsia"/>
              </w:rPr>
              <w:t>□产品/服务流程系体系建立前确定，近期也不预期变更</w:t>
            </w:r>
          </w:p>
          <w:p>
            <w:pPr>
              <w:shd w:val="clea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shd w:val="clear"/>
            </w:pPr>
            <w:r>
              <w:rPr>
                <w:rFonts w:hint="eastAsia"/>
              </w:rPr>
              <w:t>体系文件实施时间</w:t>
            </w:r>
          </w:p>
        </w:tc>
        <w:tc>
          <w:tcPr>
            <w:tcW w:w="2733" w:type="dxa"/>
          </w:tcPr>
          <w:p>
            <w:pPr>
              <w:shd w:val="clear"/>
            </w:pPr>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pPr>
              <w:shd w:val="clear"/>
            </w:pPr>
          </w:p>
        </w:tc>
        <w:tc>
          <w:tcPr>
            <w:tcW w:w="1883" w:type="dxa"/>
            <w:vAlign w:val="center"/>
          </w:tcPr>
          <w:p>
            <w:pPr>
              <w:shd w:val="clear"/>
            </w:pPr>
            <w:r>
              <w:rPr>
                <w:rFonts w:hint="eastAsia"/>
              </w:rPr>
              <w:t>管理体系运行已超过3个月</w:t>
            </w:r>
          </w:p>
        </w:tc>
        <w:tc>
          <w:tcPr>
            <w:tcW w:w="3215" w:type="dxa"/>
            <w:vAlign w:val="center"/>
          </w:tcPr>
          <w:p>
            <w:pPr>
              <w:shd w:val="clear"/>
            </w:pPr>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shd w:val="clear"/>
            </w:pPr>
            <w:r>
              <w:rPr>
                <w:rFonts w:hint="eastAsia"/>
              </w:rPr>
              <w:t>上次审核时间</w:t>
            </w:r>
          </w:p>
        </w:tc>
        <w:tc>
          <w:tcPr>
            <w:tcW w:w="2733" w:type="dxa"/>
            <w:vAlign w:val="center"/>
          </w:tcPr>
          <w:p>
            <w:pPr>
              <w:shd w:val="clear"/>
            </w:pPr>
            <w:r>
              <w:rPr>
                <w:rFonts w:hint="eastAsia"/>
              </w:rPr>
              <w:t xml:space="preserve">     年    月     日</w:t>
            </w:r>
          </w:p>
        </w:tc>
        <w:tc>
          <w:tcPr>
            <w:tcW w:w="1883" w:type="dxa"/>
            <w:vAlign w:val="center"/>
          </w:tcPr>
          <w:p>
            <w:pPr>
              <w:shd w:val="clear"/>
            </w:pPr>
            <w:r>
              <w:rPr>
                <w:rFonts w:hint="eastAsia"/>
              </w:rPr>
              <w:t>认证证书有效期</w:t>
            </w:r>
          </w:p>
          <w:p>
            <w:pPr>
              <w:shd w:val="clear"/>
            </w:pPr>
            <w:r>
              <w:rPr>
                <w:rFonts w:hint="eastAsia"/>
              </w:rPr>
              <w:t>（初审除外）</w:t>
            </w:r>
          </w:p>
        </w:tc>
        <w:tc>
          <w:tcPr>
            <w:tcW w:w="3215" w:type="dxa"/>
            <w:vAlign w:val="center"/>
          </w:tcPr>
          <w:p>
            <w:pPr>
              <w:shd w:val="clear"/>
            </w:pPr>
            <w:r>
              <w:rPr>
                <w:rFonts w:hint="eastAsia"/>
              </w:rPr>
              <w:t>有效至      年    月     日</w:t>
            </w:r>
          </w:p>
        </w:tc>
      </w:tr>
    </w:tbl>
    <w:p>
      <w:pPr>
        <w:shd w:val="clear"/>
      </w:pPr>
    </w:p>
    <w:p>
      <w:pPr>
        <w:shd w:val="clea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shd w:val="clear"/>
            </w:pPr>
            <w:r>
              <w:rPr>
                <w:rFonts w:hint="eastAsia"/>
              </w:rPr>
              <w:t>场所编号</w:t>
            </w:r>
          </w:p>
          <w:p>
            <w:pPr>
              <w:shd w:val="clear"/>
            </w:pPr>
            <w:r>
              <w:rPr>
                <w:rFonts w:hint="eastAsia"/>
              </w:rPr>
              <w:t>(分证书序号）</w:t>
            </w:r>
          </w:p>
        </w:tc>
        <w:tc>
          <w:tcPr>
            <w:tcW w:w="2267" w:type="dxa"/>
            <w:shd w:val="clear" w:color="auto" w:fill="F3F3F3"/>
            <w:tcMar>
              <w:left w:w="57" w:type="dxa"/>
              <w:right w:w="57" w:type="dxa"/>
            </w:tcMar>
          </w:tcPr>
          <w:p>
            <w:pPr>
              <w:shd w:val="clear"/>
            </w:pPr>
            <w:r>
              <w:rPr>
                <w:rFonts w:hint="eastAsia"/>
              </w:rPr>
              <w:t>组织名称及注册场所地址</w:t>
            </w:r>
          </w:p>
        </w:tc>
        <w:tc>
          <w:tcPr>
            <w:tcW w:w="2267" w:type="dxa"/>
            <w:shd w:val="clear" w:color="auto" w:fill="F3F3F3"/>
          </w:tcPr>
          <w:p>
            <w:pPr>
              <w:shd w:val="clear"/>
            </w:pPr>
            <w:r>
              <w:rPr>
                <w:rFonts w:hint="eastAsia"/>
              </w:rPr>
              <w:t>经营场所的地址</w:t>
            </w:r>
          </w:p>
          <w:p>
            <w:pPr>
              <w:shd w:val="clear"/>
            </w:pPr>
            <w:r>
              <w:rPr>
                <w:rFonts w:hint="eastAsia"/>
              </w:rPr>
              <w:t>（多现场和临时现场）</w:t>
            </w:r>
          </w:p>
        </w:tc>
        <w:tc>
          <w:tcPr>
            <w:tcW w:w="571" w:type="dxa"/>
            <w:shd w:val="clear" w:color="auto" w:fill="F3F3F3"/>
            <w:tcMar>
              <w:left w:w="57" w:type="dxa"/>
              <w:right w:w="57" w:type="dxa"/>
            </w:tcMar>
          </w:tcPr>
          <w:p>
            <w:pPr>
              <w:shd w:val="clear"/>
            </w:pPr>
            <w:r>
              <w:rPr>
                <w:rFonts w:hint="eastAsia"/>
              </w:rPr>
              <w:t>员工人数</w:t>
            </w:r>
          </w:p>
        </w:tc>
        <w:tc>
          <w:tcPr>
            <w:tcW w:w="2803" w:type="dxa"/>
            <w:shd w:val="clear" w:color="auto" w:fill="F3F3F3"/>
            <w:tcMar>
              <w:left w:w="57" w:type="dxa"/>
              <w:right w:w="57" w:type="dxa"/>
            </w:tcMar>
          </w:tcPr>
          <w:p>
            <w:pPr>
              <w:shd w:val="clear"/>
            </w:pPr>
            <w:r>
              <w:rPr>
                <w:rFonts w:hint="eastAsia"/>
              </w:rPr>
              <w:t>审核范围（产品和过程）</w:t>
            </w:r>
          </w:p>
          <w:p>
            <w:pPr>
              <w:shd w:val="clear"/>
            </w:pPr>
          </w:p>
          <w:p>
            <w:pPr>
              <w:shd w:val="clear"/>
            </w:pPr>
            <w:r>
              <w:rPr>
                <w:rFonts w:hint="eastAsia"/>
              </w:rPr>
              <w:t>（注：FSMS/HACCP要明确到车间）</w:t>
            </w:r>
          </w:p>
        </w:tc>
        <w:tc>
          <w:tcPr>
            <w:tcW w:w="669" w:type="dxa"/>
            <w:shd w:val="clear" w:color="auto" w:fill="F3F3F3"/>
            <w:tcMar>
              <w:left w:w="57" w:type="dxa"/>
              <w:right w:w="57" w:type="dxa"/>
            </w:tcMar>
          </w:tcPr>
          <w:p>
            <w:pPr>
              <w:shd w:val="clear"/>
            </w:pPr>
            <w:r>
              <w:rPr>
                <w:rFonts w:hint="eastAsia"/>
              </w:rPr>
              <w:t>标准</w:t>
            </w:r>
          </w:p>
        </w:tc>
        <w:tc>
          <w:tcPr>
            <w:tcW w:w="668" w:type="dxa"/>
            <w:tcBorders>
              <w:bottom w:val="single" w:color="auto" w:sz="4" w:space="0"/>
            </w:tcBorders>
            <w:shd w:val="clear" w:color="auto" w:fill="F3F3F3"/>
            <w:tcMar>
              <w:left w:w="57" w:type="dxa"/>
              <w:right w:w="57" w:type="dxa"/>
            </w:tcMar>
          </w:tcPr>
          <w:p>
            <w:pPr>
              <w:shd w:val="clear"/>
            </w:pPr>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赣州丰泰农业发展有限责任公司</w:t>
            </w:r>
          </w:p>
          <w:p>
            <w:pPr>
              <w:spacing w:before="40" w:after="40"/>
              <w:rPr>
                <w:sz w:val="21"/>
                <w:szCs w:val="21"/>
                <w:lang w:val="de-DE" w:eastAsia="ja-JP"/>
              </w:rPr>
            </w:pPr>
            <w:r>
              <w:rPr>
                <w:sz w:val="21"/>
                <w:szCs w:val="21"/>
              </w:rPr>
              <w:t>江西省赣州市南康区横市镇增坑村新村</w:t>
            </w:r>
          </w:p>
        </w:tc>
        <w:tc>
          <w:tcPr>
            <w:tcW w:w="2267" w:type="dxa"/>
          </w:tcPr>
          <w:p>
            <w:pPr>
              <w:spacing w:before="40" w:after="40"/>
              <w:rPr>
                <w:rFonts w:eastAsia="黑体"/>
                <w:szCs w:val="21"/>
                <w:lang w:val="de-DE" w:eastAsia="ja-JP"/>
              </w:rPr>
            </w:pPr>
            <w:r>
              <w:rPr>
                <w:sz w:val="21"/>
                <w:szCs w:val="21"/>
              </w:rPr>
              <w:t>江西省赣州市南康区横市镇增坑村新村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28</w:t>
            </w:r>
          </w:p>
        </w:tc>
        <w:tc>
          <w:tcPr>
            <w:tcW w:w="2803" w:type="dxa"/>
            <w:vAlign w:val="center"/>
          </w:tcPr>
          <w:p>
            <w:pPr>
              <w:rPr>
                <w:sz w:val="21"/>
                <w:szCs w:val="21"/>
              </w:rPr>
            </w:pPr>
            <w:r>
              <w:rPr>
                <w:sz w:val="21"/>
                <w:szCs w:val="21"/>
              </w:rPr>
              <w:t>Q：大米加工（限许可范围内）</w:t>
            </w:r>
          </w:p>
          <w:p>
            <w:pPr>
              <w:pStyle w:val="22"/>
              <w:rPr>
                <w:rFonts w:eastAsia="黑体" w:cs="Arial"/>
                <w:sz w:val="21"/>
                <w:szCs w:val="21"/>
                <w:lang w:val="en-US" w:eastAsia="ja-JP"/>
              </w:rPr>
            </w:pPr>
            <w:r>
              <w:rPr>
                <w:sz w:val="21"/>
                <w:szCs w:val="21"/>
              </w:rPr>
              <w:t>F：位于江西省赣州市南康区横市镇增坑村新村赣州丰泰农业发展有限责任公司生产车间大米的加工</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hd w:val="clear"/>
              <w:rPr>
                <w:lang w:eastAsia="ja-JP"/>
              </w:rPr>
            </w:pPr>
            <w:r>
              <w:rPr>
                <w:rFonts w:hint="eastAsia"/>
                <w:lang w:eastAsia="ja-JP"/>
              </w:rPr>
              <w:t>02</w:t>
            </w:r>
          </w:p>
        </w:tc>
        <w:tc>
          <w:tcPr>
            <w:tcW w:w="2267" w:type="dxa"/>
            <w:vAlign w:val="center"/>
          </w:tcPr>
          <w:p>
            <w:pPr>
              <w:shd w:val="clear"/>
              <w:rPr>
                <w:lang w:eastAsia="ja-JP"/>
              </w:rPr>
            </w:pPr>
          </w:p>
        </w:tc>
        <w:tc>
          <w:tcPr>
            <w:tcW w:w="2267" w:type="dxa"/>
            <w:vAlign w:val="center"/>
          </w:tcPr>
          <w:p>
            <w:pPr>
              <w:shd w:val="clear"/>
              <w:rPr>
                <w:lang w:eastAsia="ja-JP"/>
              </w:rPr>
            </w:pPr>
          </w:p>
        </w:tc>
        <w:tc>
          <w:tcPr>
            <w:tcW w:w="571" w:type="dxa"/>
            <w:vAlign w:val="center"/>
          </w:tcPr>
          <w:p>
            <w:pPr>
              <w:shd w:val="clear"/>
              <w:rPr>
                <w:lang w:eastAsia="ja-JP"/>
              </w:rPr>
            </w:pPr>
          </w:p>
        </w:tc>
        <w:tc>
          <w:tcPr>
            <w:tcW w:w="2803" w:type="dxa"/>
            <w:vAlign w:val="center"/>
          </w:tcPr>
          <w:p>
            <w:pPr>
              <w:shd w:val="clear"/>
              <w:rPr>
                <w:lang w:eastAsia="ja-JP"/>
              </w:rPr>
            </w:pPr>
          </w:p>
        </w:tc>
        <w:tc>
          <w:tcPr>
            <w:tcW w:w="669" w:type="dxa"/>
            <w:vAlign w:val="center"/>
          </w:tcPr>
          <w:p>
            <w:pPr>
              <w:shd w:val="clear"/>
              <w:rPr>
                <w:lang w:eastAsia="ja-JP"/>
              </w:rPr>
            </w:pPr>
          </w:p>
        </w:tc>
        <w:tc>
          <w:tcPr>
            <w:tcW w:w="668" w:type="dxa"/>
            <w:shd w:val="clear" w:color="auto" w:fill="FFFFFF"/>
          </w:tcPr>
          <w:p>
            <w:pPr>
              <w:shd w:val="clea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hd w:val="clear"/>
              <w:rPr>
                <w:lang w:eastAsia="ja-JP"/>
              </w:rPr>
            </w:pPr>
            <w:r>
              <w:rPr>
                <w:rFonts w:hint="eastAsia"/>
                <w:lang w:eastAsia="ja-JP"/>
              </w:rPr>
              <w:t>03</w:t>
            </w:r>
          </w:p>
        </w:tc>
        <w:tc>
          <w:tcPr>
            <w:tcW w:w="2267" w:type="dxa"/>
            <w:vAlign w:val="center"/>
          </w:tcPr>
          <w:p>
            <w:pPr>
              <w:shd w:val="clear"/>
              <w:rPr>
                <w:lang w:eastAsia="ja-JP"/>
              </w:rPr>
            </w:pPr>
          </w:p>
        </w:tc>
        <w:tc>
          <w:tcPr>
            <w:tcW w:w="2267" w:type="dxa"/>
            <w:vAlign w:val="center"/>
          </w:tcPr>
          <w:p>
            <w:pPr>
              <w:shd w:val="clear"/>
              <w:rPr>
                <w:lang w:eastAsia="ja-JP"/>
              </w:rPr>
            </w:pPr>
          </w:p>
        </w:tc>
        <w:tc>
          <w:tcPr>
            <w:tcW w:w="571" w:type="dxa"/>
            <w:vAlign w:val="center"/>
          </w:tcPr>
          <w:p>
            <w:pPr>
              <w:shd w:val="clear"/>
              <w:rPr>
                <w:lang w:eastAsia="ja-JP"/>
              </w:rPr>
            </w:pPr>
          </w:p>
        </w:tc>
        <w:tc>
          <w:tcPr>
            <w:tcW w:w="2803" w:type="dxa"/>
            <w:vAlign w:val="center"/>
          </w:tcPr>
          <w:p>
            <w:pPr>
              <w:shd w:val="clear"/>
              <w:rPr>
                <w:lang w:eastAsia="ja-JP"/>
              </w:rPr>
            </w:pPr>
          </w:p>
        </w:tc>
        <w:tc>
          <w:tcPr>
            <w:tcW w:w="669" w:type="dxa"/>
            <w:vAlign w:val="center"/>
          </w:tcPr>
          <w:p>
            <w:pPr>
              <w:shd w:val="clear"/>
              <w:rPr>
                <w:lang w:eastAsia="ja-JP"/>
              </w:rPr>
            </w:pPr>
          </w:p>
        </w:tc>
        <w:tc>
          <w:tcPr>
            <w:tcW w:w="668" w:type="dxa"/>
            <w:shd w:val="clear" w:color="auto" w:fill="FFFFFF"/>
          </w:tcPr>
          <w:p>
            <w:pPr>
              <w:shd w:val="clea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hd w:val="clear"/>
              <w:rPr>
                <w:lang w:eastAsia="ja-JP"/>
              </w:rPr>
            </w:pPr>
            <w:r>
              <w:rPr>
                <w:rFonts w:hint="eastAsia"/>
                <w:lang w:eastAsia="ja-JP"/>
              </w:rPr>
              <w:t>04</w:t>
            </w:r>
          </w:p>
        </w:tc>
        <w:tc>
          <w:tcPr>
            <w:tcW w:w="2267" w:type="dxa"/>
            <w:vAlign w:val="center"/>
          </w:tcPr>
          <w:p>
            <w:pPr>
              <w:shd w:val="clear"/>
              <w:rPr>
                <w:lang w:eastAsia="ja-JP"/>
              </w:rPr>
            </w:pPr>
          </w:p>
        </w:tc>
        <w:tc>
          <w:tcPr>
            <w:tcW w:w="2267" w:type="dxa"/>
            <w:vAlign w:val="center"/>
          </w:tcPr>
          <w:p>
            <w:pPr>
              <w:shd w:val="clear"/>
              <w:rPr>
                <w:lang w:eastAsia="ja-JP"/>
              </w:rPr>
            </w:pPr>
          </w:p>
        </w:tc>
        <w:tc>
          <w:tcPr>
            <w:tcW w:w="571" w:type="dxa"/>
            <w:vAlign w:val="center"/>
          </w:tcPr>
          <w:p>
            <w:pPr>
              <w:shd w:val="clear"/>
              <w:rPr>
                <w:lang w:eastAsia="ja-JP"/>
              </w:rPr>
            </w:pPr>
          </w:p>
        </w:tc>
        <w:tc>
          <w:tcPr>
            <w:tcW w:w="2803" w:type="dxa"/>
            <w:vAlign w:val="center"/>
          </w:tcPr>
          <w:p>
            <w:pPr>
              <w:shd w:val="clear"/>
              <w:rPr>
                <w:lang w:eastAsia="ja-JP"/>
              </w:rPr>
            </w:pPr>
          </w:p>
        </w:tc>
        <w:tc>
          <w:tcPr>
            <w:tcW w:w="669" w:type="dxa"/>
            <w:vAlign w:val="center"/>
          </w:tcPr>
          <w:p>
            <w:pPr>
              <w:shd w:val="clear"/>
              <w:rPr>
                <w:lang w:eastAsia="ja-JP"/>
              </w:rPr>
            </w:pPr>
          </w:p>
        </w:tc>
        <w:tc>
          <w:tcPr>
            <w:tcW w:w="668" w:type="dxa"/>
            <w:shd w:val="clear" w:color="auto" w:fill="FFFFFF"/>
          </w:tcPr>
          <w:p>
            <w:pPr>
              <w:shd w:val="clea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hd w:val="clear"/>
              <w:rPr>
                <w:lang w:eastAsia="ja-JP"/>
              </w:rPr>
            </w:pPr>
            <w:r>
              <w:rPr>
                <w:rFonts w:hint="eastAsia"/>
                <w:lang w:eastAsia="ja-JP"/>
              </w:rPr>
              <w:t>05</w:t>
            </w:r>
          </w:p>
        </w:tc>
        <w:tc>
          <w:tcPr>
            <w:tcW w:w="2267" w:type="dxa"/>
            <w:vAlign w:val="center"/>
          </w:tcPr>
          <w:p>
            <w:pPr>
              <w:shd w:val="clear"/>
              <w:rPr>
                <w:lang w:eastAsia="ja-JP"/>
              </w:rPr>
            </w:pPr>
          </w:p>
        </w:tc>
        <w:tc>
          <w:tcPr>
            <w:tcW w:w="2267" w:type="dxa"/>
            <w:vAlign w:val="center"/>
          </w:tcPr>
          <w:p>
            <w:pPr>
              <w:shd w:val="clear"/>
              <w:rPr>
                <w:lang w:eastAsia="ja-JP"/>
              </w:rPr>
            </w:pPr>
          </w:p>
        </w:tc>
        <w:tc>
          <w:tcPr>
            <w:tcW w:w="571" w:type="dxa"/>
            <w:vAlign w:val="center"/>
          </w:tcPr>
          <w:p>
            <w:pPr>
              <w:shd w:val="clear"/>
              <w:rPr>
                <w:lang w:eastAsia="ja-JP"/>
              </w:rPr>
            </w:pPr>
          </w:p>
        </w:tc>
        <w:tc>
          <w:tcPr>
            <w:tcW w:w="2803" w:type="dxa"/>
            <w:vAlign w:val="center"/>
          </w:tcPr>
          <w:p>
            <w:pPr>
              <w:shd w:val="clear"/>
              <w:rPr>
                <w:lang w:eastAsia="ja-JP"/>
              </w:rPr>
            </w:pPr>
          </w:p>
        </w:tc>
        <w:tc>
          <w:tcPr>
            <w:tcW w:w="669" w:type="dxa"/>
            <w:vAlign w:val="center"/>
          </w:tcPr>
          <w:p>
            <w:pPr>
              <w:shd w:val="clear"/>
              <w:rPr>
                <w:lang w:eastAsia="ja-JP"/>
              </w:rPr>
            </w:pPr>
          </w:p>
        </w:tc>
        <w:tc>
          <w:tcPr>
            <w:tcW w:w="668" w:type="dxa"/>
            <w:shd w:val="clear" w:color="auto" w:fill="FFFFFF"/>
          </w:tcPr>
          <w:p>
            <w:pPr>
              <w:shd w:val="clear"/>
            </w:pPr>
            <w:r>
              <w:rPr>
                <w:rFonts w:hint="eastAsia"/>
              </w:rPr>
              <w:t>☐</w:t>
            </w:r>
          </w:p>
        </w:tc>
      </w:tr>
    </w:tbl>
    <w:p>
      <w:pPr>
        <w:shd w:val="clear"/>
      </w:pPr>
    </w:p>
    <w:p>
      <w:pPr>
        <w:pStyle w:val="2"/>
      </w:pPr>
    </w:p>
    <w:p>
      <w:pPr>
        <w:shd w:val="clear"/>
      </w:pPr>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pPr>
              <w:shd w:val="clear"/>
            </w:pPr>
            <w:r>
              <w:rPr>
                <w:rFonts w:hint="eastAsia"/>
              </w:rPr>
              <w:t>影响审核方案的事项</w:t>
            </w:r>
          </w:p>
        </w:tc>
        <w:tc>
          <w:tcPr>
            <w:tcW w:w="8016" w:type="dxa"/>
          </w:tcPr>
          <w:p>
            <w:pPr>
              <w:shd w:val="clear"/>
              <w:jc w:val="left"/>
            </w:pPr>
            <w:r>
              <w:rPr>
                <w:rFonts w:hint="eastAsia"/>
              </w:rPr>
              <w:t xml:space="preserve">□审核终止 □审核中止  □增加审核人员  □减少审核人员  □增加场所 </w:t>
            </w:r>
          </w:p>
          <w:p>
            <w:pPr>
              <w:shd w:val="clear"/>
              <w:jc w:val="left"/>
              <w:rPr>
                <w:rFonts w:hint="default" w:eastAsia="宋体"/>
                <w:lang w:val="en-US" w:eastAsia="zh-CN"/>
              </w:rPr>
            </w:pPr>
            <w:r>
              <w:rPr>
                <w:rFonts w:hint="eastAsia"/>
              </w:rPr>
              <w:t xml:space="preserve">□减少场所  □扩大认证范围  □延长审核日期  □缩短审核日期 </w:t>
            </w:r>
            <w:r>
              <w:rPr>
                <w:rFonts w:hint="eastAsia"/>
              </w:rPr>
              <w:sym w:font="Wingdings 2" w:char="0052"/>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shd w:val="clear"/>
            </w:pPr>
            <w:r>
              <w:rPr>
                <w:rFonts w:hint="eastAsia"/>
              </w:rPr>
              <w:t>理由说明</w:t>
            </w:r>
          </w:p>
        </w:tc>
        <w:tc>
          <w:tcPr>
            <w:tcW w:w="8016" w:type="dxa"/>
          </w:tcPr>
          <w:p>
            <w:pPr>
              <w:shd w:val="clear"/>
            </w:pPr>
          </w:p>
        </w:tc>
      </w:tr>
    </w:tbl>
    <w:p>
      <w:pPr>
        <w:shd w:val="clear"/>
        <w:ind w:firstLine="630" w:firstLineChars="300"/>
      </w:pPr>
    </w:p>
    <w:p>
      <w:pPr>
        <w:pStyle w:val="24"/>
        <w:shd w:val="clear"/>
      </w:pPr>
      <w:r>
        <w:rPr>
          <w:rFonts w:hint="eastAsia"/>
        </w:rPr>
        <w:t>四、</w:t>
      </w:r>
      <w:r>
        <w:t>对偏离审核计划情况</w:t>
      </w:r>
      <w:r>
        <w:rPr>
          <w:rFonts w:hint="eastAsia"/>
        </w:rPr>
        <w:t>及理由</w:t>
      </w:r>
      <w:r>
        <w:t>，包括对审核风险及影响审核结论的不确定性的客观陈述。</w:t>
      </w:r>
    </w:p>
    <w:p>
      <w:pPr>
        <w:shd w:val="clear"/>
      </w:pPr>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pPr>
              <w:shd w:val="clear"/>
            </w:pPr>
            <w:r>
              <w:rPr>
                <w:rFonts w:hint="eastAsia"/>
              </w:rPr>
              <w:sym w:font="Wingdings 2" w:char="0052"/>
            </w:r>
            <w:r>
              <w:rPr>
                <w:rFonts w:hint="eastAsia"/>
              </w:rPr>
              <w:t>已按照审核计划完成全部审核工作</w:t>
            </w:r>
          </w:p>
        </w:tc>
        <w:tc>
          <w:tcPr>
            <w:tcW w:w="5761" w:type="dxa"/>
          </w:tcPr>
          <w:p>
            <w:pPr>
              <w:shd w:val="clea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shd w:val="clear"/>
            </w:pPr>
            <w:r>
              <w:rPr>
                <w:rFonts w:hint="eastAsia"/>
              </w:rPr>
              <w:t>□审核计划有修改，但不会影响审核结论。</w:t>
            </w:r>
          </w:p>
          <w:p>
            <w:pPr>
              <w:shd w:val="clear"/>
            </w:pPr>
            <w:r>
              <w:rPr>
                <w:rFonts w:hint="eastAsia"/>
              </w:rPr>
              <w:t>修改的内容和原因是：</w:t>
            </w:r>
          </w:p>
        </w:tc>
        <w:tc>
          <w:tcPr>
            <w:tcW w:w="5761" w:type="dxa"/>
          </w:tcPr>
          <w:p>
            <w:pPr>
              <w:shd w:val="clear"/>
            </w:pPr>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shd w:val="clear"/>
            </w:pPr>
            <w:r>
              <w:rPr>
                <w:rFonts w:hint="eastAsia"/>
              </w:rPr>
              <w:t>□未完成审核计划</w:t>
            </w:r>
          </w:p>
        </w:tc>
        <w:tc>
          <w:tcPr>
            <w:tcW w:w="5761" w:type="dxa"/>
          </w:tcPr>
          <w:p>
            <w:pPr>
              <w:shd w:val="clear"/>
            </w:pPr>
            <w:r>
              <w:rPr>
                <w:rFonts w:hint="eastAsia"/>
              </w:rPr>
              <w:t>未完成的内容和原因是:</w:t>
            </w:r>
          </w:p>
          <w:p>
            <w:pPr>
              <w:shd w:val="clear"/>
            </w:pPr>
          </w:p>
        </w:tc>
      </w:tr>
    </w:tbl>
    <w:p>
      <w:pPr>
        <w:shd w:val="clear"/>
        <w:rPr>
          <w:highlight w:val="cyan"/>
        </w:rPr>
      </w:pPr>
    </w:p>
    <w:p>
      <w:pPr>
        <w:shd w:val="clear"/>
      </w:pPr>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shd w:val="clear"/>
            </w:pPr>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hd w:val="clear"/>
            </w:pPr>
            <w:r>
              <w:rPr>
                <w:rFonts w:hint="eastAsia"/>
              </w:rPr>
              <w:t>姓名</w:t>
            </w:r>
          </w:p>
        </w:tc>
        <w:tc>
          <w:tcPr>
            <w:tcW w:w="1089" w:type="dxa"/>
            <w:vAlign w:val="center"/>
          </w:tcPr>
          <w:p>
            <w:pPr>
              <w:shd w:val="clear"/>
            </w:pPr>
            <w:r>
              <w:rPr>
                <w:rFonts w:hint="eastAsia"/>
              </w:rPr>
              <w:t>组内</w:t>
            </w:r>
          </w:p>
          <w:p>
            <w:pPr>
              <w:shd w:val="clear"/>
            </w:pPr>
            <w:r>
              <w:rPr>
                <w:rFonts w:hint="eastAsia"/>
              </w:rPr>
              <w:t>身份</w:t>
            </w:r>
          </w:p>
        </w:tc>
        <w:tc>
          <w:tcPr>
            <w:tcW w:w="711" w:type="dxa"/>
            <w:vAlign w:val="center"/>
          </w:tcPr>
          <w:p>
            <w:pPr>
              <w:shd w:val="clear"/>
            </w:pPr>
            <w:r>
              <w:rPr>
                <w:rFonts w:hint="eastAsia"/>
              </w:rPr>
              <w:t>性别</w:t>
            </w:r>
          </w:p>
        </w:tc>
        <w:tc>
          <w:tcPr>
            <w:tcW w:w="3870" w:type="dxa"/>
            <w:vAlign w:val="center"/>
          </w:tcPr>
          <w:p>
            <w:pPr>
              <w:shd w:val="clear"/>
            </w:pPr>
            <w:r>
              <w:rPr>
                <w:rFonts w:hint="eastAsia"/>
              </w:rPr>
              <w:t>审核员注册证书号</w:t>
            </w:r>
          </w:p>
        </w:tc>
        <w:tc>
          <w:tcPr>
            <w:tcW w:w="2179" w:type="dxa"/>
            <w:vAlign w:val="center"/>
          </w:tcPr>
          <w:p>
            <w:pPr>
              <w:shd w:val="clea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hd w:val="clear"/>
            </w:pPr>
            <w:r>
              <w:t>肖新龙</w:t>
            </w:r>
          </w:p>
        </w:tc>
        <w:tc>
          <w:tcPr>
            <w:tcW w:w="1089" w:type="dxa"/>
            <w:vAlign w:val="center"/>
          </w:tcPr>
          <w:p>
            <w:pPr>
              <w:shd w:val="clear"/>
            </w:pPr>
            <w:r>
              <w:t>组长</w:t>
            </w:r>
          </w:p>
        </w:tc>
        <w:tc>
          <w:tcPr>
            <w:tcW w:w="711" w:type="dxa"/>
            <w:vAlign w:val="center"/>
          </w:tcPr>
          <w:p>
            <w:pPr>
              <w:shd w:val="clear"/>
            </w:pPr>
            <w:r>
              <w:t>女</w:t>
            </w:r>
          </w:p>
        </w:tc>
        <w:tc>
          <w:tcPr>
            <w:tcW w:w="3870" w:type="dxa"/>
            <w:vAlign w:val="center"/>
          </w:tcPr>
          <w:p>
            <w:pPr>
              <w:shd w:val="clear"/>
            </w:pPr>
            <w:r>
              <w:t>2020-N1QMS-1232380</w:t>
            </w:r>
          </w:p>
          <w:p>
            <w:pPr>
              <w:shd w:val="clear"/>
            </w:pPr>
            <w:r>
              <w:t>2020-N1FSMS-1232380</w:t>
            </w:r>
          </w:p>
        </w:tc>
        <w:tc>
          <w:tcPr>
            <w:tcW w:w="2179" w:type="dxa"/>
            <w:vAlign w:val="center"/>
          </w:tcPr>
          <w:p>
            <w:pPr>
              <w:shd w:val="clear"/>
            </w:pPr>
            <w:r>
              <w:t>Q:03.06.01</w:t>
            </w:r>
          </w:p>
          <w:p>
            <w:pPr>
              <w:shd w:val="clear"/>
            </w:pPr>
            <w:r>
              <w:t>F:CIV-1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hd w:val="clear"/>
            </w:pPr>
            <w:r>
              <w:t>邝柏臣</w:t>
            </w:r>
          </w:p>
        </w:tc>
        <w:tc>
          <w:tcPr>
            <w:tcW w:w="1089" w:type="dxa"/>
            <w:vAlign w:val="center"/>
          </w:tcPr>
          <w:p>
            <w:pPr>
              <w:shd w:val="clear"/>
            </w:pPr>
            <w:r>
              <w:t>组员</w:t>
            </w:r>
          </w:p>
        </w:tc>
        <w:tc>
          <w:tcPr>
            <w:tcW w:w="711" w:type="dxa"/>
            <w:vAlign w:val="center"/>
          </w:tcPr>
          <w:p>
            <w:pPr>
              <w:shd w:val="clear"/>
            </w:pPr>
            <w:r>
              <w:t>男</w:t>
            </w:r>
          </w:p>
        </w:tc>
        <w:tc>
          <w:tcPr>
            <w:tcW w:w="3870" w:type="dxa"/>
            <w:vAlign w:val="center"/>
          </w:tcPr>
          <w:p>
            <w:pPr>
              <w:shd w:val="clear"/>
            </w:pPr>
            <w:r>
              <w:t>2020-N1QMS-1222839</w:t>
            </w:r>
          </w:p>
          <w:p>
            <w:pPr>
              <w:shd w:val="clear"/>
            </w:pPr>
            <w:r>
              <w:t>2020-N1FSMS-1222839</w:t>
            </w:r>
          </w:p>
        </w:tc>
        <w:tc>
          <w:tcPr>
            <w:tcW w:w="2179" w:type="dxa"/>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hd w:val="clear"/>
            </w:pP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hd w:val="clear"/>
            </w:pP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hd w:val="clear"/>
            </w:pP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hd w:val="clear"/>
            </w:pP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hd w:val="clear"/>
            </w:pP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shd w:val="clear"/>
            </w:pPr>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shd w:val="clear"/>
            </w:pPr>
            <w:r>
              <w:rPr>
                <w:rFonts w:hint="eastAsia"/>
              </w:rPr>
              <w:t>姓名</w:t>
            </w:r>
          </w:p>
        </w:tc>
        <w:tc>
          <w:tcPr>
            <w:tcW w:w="1089" w:type="dxa"/>
            <w:vAlign w:val="center"/>
          </w:tcPr>
          <w:p>
            <w:pPr>
              <w:shd w:val="clear"/>
            </w:pPr>
            <w:r>
              <w:rPr>
                <w:rFonts w:hint="eastAsia"/>
              </w:rPr>
              <w:t>作用</w:t>
            </w:r>
          </w:p>
        </w:tc>
        <w:tc>
          <w:tcPr>
            <w:tcW w:w="711" w:type="dxa"/>
            <w:vAlign w:val="center"/>
          </w:tcPr>
          <w:p>
            <w:pPr>
              <w:shd w:val="clear"/>
            </w:pPr>
            <w:r>
              <w:rPr>
                <w:rFonts w:hint="eastAsia"/>
              </w:rPr>
              <w:t>性别</w:t>
            </w:r>
          </w:p>
        </w:tc>
        <w:tc>
          <w:tcPr>
            <w:tcW w:w="3870" w:type="dxa"/>
            <w:vAlign w:val="center"/>
          </w:tcPr>
          <w:p>
            <w:pPr>
              <w:shd w:val="clear"/>
            </w:pPr>
            <w:r>
              <w:rPr>
                <w:rFonts w:hint="eastAsia"/>
              </w:rPr>
              <w:t>工作单位</w:t>
            </w:r>
          </w:p>
        </w:tc>
        <w:tc>
          <w:tcPr>
            <w:tcW w:w="2179" w:type="dxa"/>
            <w:vAlign w:val="center"/>
          </w:tcPr>
          <w:p>
            <w:pPr>
              <w:shd w:val="clear"/>
            </w:pPr>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shd w:val="clear"/>
              <w:rPr>
                <w:rFonts w:hint="eastAsia" w:eastAsia="宋体"/>
                <w:lang w:eastAsia="zh-CN"/>
              </w:rPr>
            </w:pPr>
            <w:r>
              <w:rPr>
                <w:rFonts w:hint="eastAsia"/>
                <w:lang w:eastAsia="zh-CN"/>
              </w:rPr>
              <w:t>——</w:t>
            </w: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shd w:val="clear"/>
            </w:pPr>
          </w:p>
        </w:tc>
        <w:tc>
          <w:tcPr>
            <w:tcW w:w="1089" w:type="dxa"/>
            <w:vAlign w:val="center"/>
          </w:tcPr>
          <w:p>
            <w:pPr>
              <w:shd w:val="clear"/>
            </w:pPr>
          </w:p>
        </w:tc>
        <w:tc>
          <w:tcPr>
            <w:tcW w:w="711" w:type="dxa"/>
            <w:vAlign w:val="center"/>
          </w:tcPr>
          <w:p>
            <w:pPr>
              <w:shd w:val="clear"/>
            </w:pPr>
          </w:p>
        </w:tc>
        <w:tc>
          <w:tcPr>
            <w:tcW w:w="3870" w:type="dxa"/>
            <w:vAlign w:val="center"/>
          </w:tcPr>
          <w:p>
            <w:pPr>
              <w:shd w:val="clear"/>
            </w:pPr>
          </w:p>
        </w:tc>
        <w:tc>
          <w:tcPr>
            <w:tcW w:w="2179" w:type="dxa"/>
            <w:vAlign w:val="center"/>
          </w:tcPr>
          <w:p>
            <w:pPr>
              <w:shd w:val="clear"/>
            </w:pPr>
          </w:p>
        </w:tc>
      </w:tr>
    </w:tbl>
    <w:p>
      <w:pPr>
        <w:shd w:val="clear"/>
      </w:pPr>
    </w:p>
    <w:p>
      <w:pPr>
        <w:shd w:val="clear"/>
        <w:rPr>
          <w:lang w:eastAsia="ja-JP"/>
        </w:rPr>
      </w:pPr>
      <w:r>
        <w:rPr>
          <w:lang w:eastAsia="ja-JP"/>
        </w:rPr>
        <w:t xml:space="preserve"> </w:t>
      </w:r>
    </w:p>
    <w:p>
      <w:pPr>
        <w:shd w:val="clear"/>
      </w:pPr>
    </w:p>
    <w:p>
      <w:pPr>
        <w:shd w:val="clear"/>
      </w:pPr>
    </w:p>
    <w:p>
      <w:pPr>
        <w:shd w:val="clear"/>
        <w:rPr>
          <w:rFonts w:hint="eastAsia" w:eastAsia="宋体"/>
          <w:lang w:val="en-US" w:eastAsia="zh-CN"/>
        </w:rPr>
      </w:pPr>
      <w:r>
        <w:rPr>
          <w:rFonts w:hint="eastAsia"/>
        </w:rPr>
        <w:t xml:space="preserve">六、上次审核后发生的影响组织管理体系的重要变更（适用时）  </w:t>
      </w:r>
      <w:r>
        <w:rPr>
          <w:rFonts w:hint="eastAsia"/>
          <w:lang w:val="en-US" w:eastAsia="zh-CN"/>
        </w:rPr>
        <w:t>不适用</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变更内容</w:t>
            </w:r>
          </w:p>
        </w:tc>
        <w:tc>
          <w:tcPr>
            <w:tcW w:w="7412" w:type="dxa"/>
          </w:tcPr>
          <w:p>
            <w:pPr>
              <w:shd w:val="clear"/>
            </w:pPr>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主要负责人变更</w:t>
            </w:r>
          </w:p>
        </w:tc>
        <w:tc>
          <w:tcPr>
            <w:tcW w:w="7412" w:type="dxa"/>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注册地址变更</w:t>
            </w:r>
          </w:p>
        </w:tc>
        <w:tc>
          <w:tcPr>
            <w:tcW w:w="7412" w:type="dxa"/>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经营地址变更</w:t>
            </w:r>
          </w:p>
        </w:tc>
        <w:tc>
          <w:tcPr>
            <w:tcW w:w="7412" w:type="dxa"/>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多场所地址变更</w:t>
            </w:r>
          </w:p>
        </w:tc>
        <w:tc>
          <w:tcPr>
            <w:tcW w:w="7412" w:type="dxa"/>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shd w:val="clear"/>
            </w:pPr>
            <w:r>
              <w:rPr>
                <w:rFonts w:hint="eastAsia"/>
              </w:rPr>
              <w:t>临时场所地址变更</w:t>
            </w:r>
          </w:p>
        </w:tc>
        <w:tc>
          <w:tcPr>
            <w:tcW w:w="7412" w:type="dxa"/>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认证范围变更</w:t>
            </w:r>
          </w:p>
        </w:tc>
        <w:tc>
          <w:tcPr>
            <w:tcW w:w="7412" w:type="dxa"/>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shd w:val="clear"/>
            </w:pPr>
            <w:r>
              <w:rPr>
                <w:rFonts w:hint="eastAsia"/>
              </w:rPr>
              <w:t>体系员工人数较大变更</w:t>
            </w:r>
          </w:p>
        </w:tc>
        <w:tc>
          <w:tcPr>
            <w:tcW w:w="7412" w:type="dxa"/>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设备设施重大变更</w:t>
            </w:r>
          </w:p>
        </w:tc>
        <w:tc>
          <w:tcPr>
            <w:tcW w:w="7412" w:type="dxa"/>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产品/工艺重大变更</w:t>
            </w:r>
          </w:p>
        </w:tc>
        <w:tc>
          <w:tcPr>
            <w:tcW w:w="7412" w:type="dxa"/>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shd w:val="clear"/>
            </w:pPr>
            <w:r>
              <w:rPr>
                <w:rFonts w:hint="eastAsia"/>
              </w:rPr>
              <w:t>其他</w:t>
            </w:r>
          </w:p>
        </w:tc>
        <w:tc>
          <w:tcPr>
            <w:tcW w:w="7412" w:type="dxa"/>
          </w:tcPr>
          <w:p>
            <w:pPr>
              <w:shd w:val="clear"/>
            </w:pPr>
          </w:p>
        </w:tc>
      </w:tr>
    </w:tbl>
    <w:p>
      <w:pPr>
        <w:shd w:val="clear"/>
      </w:pPr>
      <w:r>
        <w:rPr>
          <w:rFonts w:hint="eastAsia"/>
        </w:rPr>
        <w:t>在本次审核过程中，评审了现有管理体系和管理体系文件中这些变化的实施情况。</w:t>
      </w:r>
    </w:p>
    <w:p>
      <w:pPr>
        <w:shd w:val="clear"/>
      </w:pPr>
    </w:p>
    <w:p>
      <w:pPr>
        <w:numPr>
          <w:ilvl w:val="0"/>
          <w:numId w:val="2"/>
        </w:numPr>
        <w:shd w:val="clear"/>
      </w:pPr>
      <w:r>
        <w:t>审核发现</w:t>
      </w:r>
      <w:r>
        <w:rPr>
          <w:rFonts w:hint="eastAsia"/>
        </w:rPr>
        <w:t xml:space="preserve">（见 </w:t>
      </w:r>
      <w:r>
        <w:rPr>
          <w:rFonts w:hint="eastAsia"/>
        </w:rPr>
        <w:sym w:font="Wingdings 2" w:char="0052"/>
      </w:r>
      <w:r>
        <w:rPr>
          <w:rFonts w:hint="eastAsia"/>
        </w:rPr>
        <w:t xml:space="preserve">QMS □EcMS □EMS □OHSMS□EnMS </w:t>
      </w:r>
      <w:r>
        <w:rPr>
          <w:rFonts w:hint="eastAsia"/>
        </w:rPr>
        <w:sym w:font="Wingdings 2" w:char="0052"/>
      </w:r>
      <w:r>
        <w:rPr>
          <w:rFonts w:hint="eastAsia"/>
        </w:rPr>
        <w:t>FSMS □HACCP的附件）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pPr>
              <w:shd w:val="clear"/>
            </w:pPr>
            <w:r>
              <w:rPr>
                <w:rFonts w:hint="eastAsia"/>
              </w:rPr>
              <w:t>审核周期</w:t>
            </w:r>
          </w:p>
        </w:tc>
        <w:tc>
          <w:tcPr>
            <w:tcW w:w="8748" w:type="dxa"/>
            <w:shd w:val="clear" w:color="auto" w:fill="D7D7D7" w:themeFill="background1" w:themeFillShade="D8"/>
          </w:tcPr>
          <w:p>
            <w:pPr>
              <w:shd w:val="clear"/>
            </w:pPr>
            <w:r>
              <w:rPr>
                <w:rFonts w:hint="eastAsia"/>
              </w:rPr>
              <w:t xml:space="preserve"> □体系建立以来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pPr>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default"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pPr>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default" w:eastAsia="宋体"/>
                <w:lang w:val="en-US" w:eastAsia="zh-CN"/>
              </w:rPr>
            </w:pPr>
            <w:r>
              <w:rPr>
                <w:rFonts w:hint="eastAsia"/>
                <w:lang w:val="en-US" w:eastAsia="zh-CN"/>
              </w:rPr>
              <w:t>已形成不符合项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pPr>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pPr>
            <w:r>
              <w:rPr>
                <w:rFonts w:hint="eastAsia"/>
              </w:rPr>
              <w:t>所有被抽样到的、被评审过的工作记录都是真实的。</w:t>
            </w:r>
          </w:p>
          <w:p>
            <w:pPr>
              <w:shd w:val="clea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shd w:val="clea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shd w:val="clear"/>
              <w:rPr>
                <w:lang w:val="en-GB"/>
              </w:rPr>
            </w:pPr>
            <w:r>
              <w:rPr>
                <w:rFonts w:hint="eastAsia"/>
                <w:lang w:val="en-GB"/>
              </w:rPr>
              <w:t>依据规定使用标志和证书。有进行相关的抽查（</w:t>
            </w:r>
            <w:r>
              <w:rPr>
                <w:rFonts w:hint="eastAsia"/>
              </w:rPr>
              <w:t>如：名片，公司宣传册，网站，等等）</w:t>
            </w:r>
          </w:p>
        </w:tc>
      </w:tr>
    </w:tbl>
    <w:p>
      <w:pPr>
        <w:shd w:val="clear"/>
      </w:pPr>
    </w:p>
    <w:p>
      <w:pPr>
        <w:shd w:val="clear"/>
      </w:pPr>
      <w:r>
        <w:rPr>
          <w:rFonts w:hint="eastAsia"/>
        </w:rPr>
        <w:t>八、已识别出的任何未解决的问题：</w:t>
      </w:r>
    </w:p>
    <w:p>
      <w:pPr>
        <w:shd w:val="clear"/>
      </w:pPr>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shd w:val="clear"/>
            </w:pPr>
            <w:r>
              <w:rPr>
                <w:rFonts w:hint="eastAsia"/>
              </w:rPr>
              <w:t>影响本次审核结论可靠性的因素</w:t>
            </w:r>
          </w:p>
        </w:tc>
        <w:tc>
          <w:tcPr>
            <w:tcW w:w="5583" w:type="dxa"/>
          </w:tcPr>
          <w:p>
            <w:pPr>
              <w:shd w:val="clear"/>
            </w:pPr>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shd w:val="clear"/>
            </w:pPr>
            <w:r>
              <w:rPr>
                <w:rFonts w:hint="eastAsia"/>
              </w:rPr>
              <w:t>□样本量不足</w:t>
            </w:r>
          </w:p>
        </w:tc>
        <w:tc>
          <w:tcPr>
            <w:tcW w:w="5583" w:type="dxa"/>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shd w:val="clear"/>
            </w:pPr>
            <w:r>
              <w:rPr>
                <w:rFonts w:hint="eastAsia"/>
              </w:rPr>
              <w:t>□知识产权保护</w:t>
            </w:r>
          </w:p>
        </w:tc>
        <w:tc>
          <w:tcPr>
            <w:tcW w:w="5583" w:type="dxa"/>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shd w:val="clear"/>
            </w:pPr>
            <w:r>
              <w:rPr>
                <w:rFonts w:hint="eastAsia"/>
              </w:rPr>
              <w:t>□因受审核方信息造成的日数或审核资源不足</w:t>
            </w:r>
          </w:p>
        </w:tc>
        <w:tc>
          <w:tcPr>
            <w:tcW w:w="5583" w:type="dxa"/>
          </w:tcPr>
          <w:p>
            <w:pPr>
              <w:shd w:val="clear"/>
            </w:pPr>
          </w:p>
        </w:tc>
      </w:tr>
    </w:tbl>
    <w:p>
      <w:pPr>
        <w:shd w:val="clear"/>
      </w:pPr>
    </w:p>
    <w:p>
      <w:pPr>
        <w:shd w:val="clear"/>
      </w:pPr>
    </w:p>
    <w:p>
      <w:pPr>
        <w:shd w:val="clear"/>
      </w:pPr>
      <w:r>
        <w:rPr>
          <w:rFonts w:hint="eastAsia"/>
        </w:rPr>
        <w:t>九、是否达到审核目的</w:t>
      </w:r>
    </w:p>
    <w:p>
      <w:pPr>
        <w:shd w:val="clear"/>
      </w:pPr>
      <w:r>
        <w:rPr>
          <w:rFonts w:hint="eastAsia"/>
        </w:rPr>
        <w:sym w:font="Wingdings 2" w:char="0052"/>
      </w:r>
      <w:r>
        <w:rPr>
          <w:rFonts w:hint="eastAsia"/>
        </w:rPr>
        <w:t xml:space="preserve">达到审核目的 </w:t>
      </w:r>
    </w:p>
    <w:p>
      <w:pPr>
        <w:shd w:val="clear"/>
        <w:rPr>
          <w:u w:val="single"/>
        </w:rPr>
      </w:pPr>
      <w:r>
        <w:rPr>
          <w:rFonts w:hint="eastAsia"/>
        </w:rPr>
        <w:t>□未达到审核目的，未达到目的的原因是：</w:t>
      </w:r>
      <w:r>
        <w:rPr>
          <w:rFonts w:hint="eastAsia"/>
          <w:u w:val="single"/>
        </w:rPr>
        <w:t xml:space="preserve">                                            </w:t>
      </w:r>
    </w:p>
    <w:p>
      <w:pPr>
        <w:shd w:val="clear"/>
      </w:pPr>
    </w:p>
    <w:p>
      <w:pPr>
        <w:shd w:val="clear"/>
      </w:pPr>
      <w:r>
        <w:rPr>
          <w:rFonts w:hint="eastAsia"/>
        </w:rPr>
        <w:t xml:space="preserve">十、审核基于对可获得信息的抽样过程的免责声明； </w:t>
      </w:r>
    </w:p>
    <w:p>
      <w:pPr>
        <w:shd w:val="clear"/>
      </w:pPr>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Pr>
        <w:shd w:val="clear"/>
      </w:pPr>
    </w:p>
    <w:p>
      <w:pPr>
        <w:shd w:val="clear"/>
      </w:pPr>
      <w:r>
        <w:rPr>
          <w:rFonts w:hint="eastAsia"/>
        </w:rPr>
        <w:t>十一、不符合项纠正措施要求</w:t>
      </w:r>
    </w:p>
    <w:p>
      <w:pPr>
        <w:shd w:val="clear"/>
      </w:pPr>
      <w:r>
        <w:rPr>
          <w:rFonts w:hint="eastAsia"/>
        </w:rPr>
        <w:t>未开具不符合报告在5工作日/一般不符合报告在20工作日/严重不符合在60个工作日之内，针对不符合原因制定并实施纠正措施。验证方式见《不符合项报告》。</w:t>
      </w:r>
    </w:p>
    <w:p>
      <w:pPr>
        <w:shd w:val="clear"/>
        <w:rPr>
          <w:highlight w:val="cyan"/>
        </w:rPr>
      </w:pPr>
    </w:p>
    <w:p>
      <w:pPr>
        <w:shd w:val="clear"/>
      </w:pPr>
    </w:p>
    <w:p>
      <w:pPr>
        <w:shd w:val="clear"/>
      </w:pPr>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rPr>
                <w:highlight w:val="none"/>
              </w:rPr>
            </w:pPr>
            <w:r>
              <w:rPr>
                <w:rFonts w:hint="eastAsia"/>
                <w:highlight w:val="none"/>
              </w:rPr>
              <w:t>体系名称缩写</w:t>
            </w:r>
          </w:p>
        </w:tc>
        <w:tc>
          <w:tcPr>
            <w:tcW w:w="1698" w:type="dxa"/>
          </w:tcPr>
          <w:p>
            <w:pPr>
              <w:shd w:val="clear"/>
              <w:rPr>
                <w:highlight w:val="none"/>
              </w:rPr>
            </w:pPr>
            <w:r>
              <w:rPr>
                <w:rFonts w:hint="eastAsia"/>
                <w:highlight w:val="none"/>
              </w:rPr>
              <w:t>一般不符合数量</w:t>
            </w:r>
          </w:p>
        </w:tc>
        <w:tc>
          <w:tcPr>
            <w:tcW w:w="1717" w:type="dxa"/>
          </w:tcPr>
          <w:p>
            <w:pPr>
              <w:shd w:val="clear"/>
              <w:rPr>
                <w:highlight w:val="none"/>
              </w:rPr>
            </w:pPr>
            <w:r>
              <w:rPr>
                <w:rFonts w:hint="eastAsia"/>
                <w:highlight w:val="none"/>
              </w:rPr>
              <w:t>严重不符合数量</w:t>
            </w:r>
          </w:p>
        </w:tc>
        <w:tc>
          <w:tcPr>
            <w:tcW w:w="1560" w:type="dxa"/>
          </w:tcPr>
          <w:p>
            <w:pPr>
              <w:shd w:val="clear"/>
              <w:rPr>
                <w:highlight w:val="none"/>
              </w:rPr>
            </w:pPr>
            <w:r>
              <w:rPr>
                <w:rFonts w:hint="eastAsia"/>
                <w:highlight w:val="none"/>
              </w:rPr>
              <w:t>不符合项总数</w:t>
            </w:r>
          </w:p>
        </w:tc>
        <w:tc>
          <w:tcPr>
            <w:tcW w:w="2965" w:type="dxa"/>
          </w:tcPr>
          <w:p>
            <w:pPr>
              <w:shd w:val="clea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rPr>
                <w:highlight w:val="none"/>
              </w:rPr>
            </w:pPr>
            <w:r>
              <w:rPr>
                <w:rFonts w:hint="eastAsia"/>
                <w:highlight w:val="none"/>
              </w:rPr>
              <w:t>QMS</w:t>
            </w:r>
          </w:p>
        </w:tc>
        <w:tc>
          <w:tcPr>
            <w:tcW w:w="1698" w:type="dxa"/>
          </w:tcPr>
          <w:p>
            <w:pPr>
              <w:shd w:val="clear"/>
              <w:rPr>
                <w:rFonts w:hint="eastAsia" w:eastAsia="宋体"/>
                <w:highlight w:val="none"/>
                <w:lang w:val="en-US" w:eastAsia="zh-CN"/>
              </w:rPr>
            </w:pPr>
            <w:r>
              <w:rPr>
                <w:rFonts w:hint="eastAsia"/>
                <w:highlight w:val="none"/>
                <w:lang w:val="en-US" w:eastAsia="zh-CN"/>
              </w:rPr>
              <w:t>3</w:t>
            </w:r>
          </w:p>
        </w:tc>
        <w:tc>
          <w:tcPr>
            <w:tcW w:w="1717" w:type="dxa"/>
          </w:tcPr>
          <w:p>
            <w:pPr>
              <w:shd w:val="clear"/>
              <w:rPr>
                <w:rFonts w:hint="eastAsia" w:eastAsia="宋体"/>
                <w:highlight w:val="none"/>
                <w:lang w:val="en-US" w:eastAsia="zh-CN"/>
              </w:rPr>
            </w:pPr>
            <w:r>
              <w:rPr>
                <w:rFonts w:hint="eastAsia"/>
                <w:highlight w:val="none"/>
                <w:lang w:val="en-US" w:eastAsia="zh-CN"/>
              </w:rPr>
              <w:t>0</w:t>
            </w:r>
          </w:p>
        </w:tc>
        <w:tc>
          <w:tcPr>
            <w:tcW w:w="1560" w:type="dxa"/>
          </w:tcPr>
          <w:p>
            <w:pPr>
              <w:shd w:val="clear"/>
              <w:rPr>
                <w:rFonts w:hint="eastAsia" w:eastAsia="宋体"/>
                <w:highlight w:val="none"/>
                <w:lang w:val="en-US" w:eastAsia="zh-CN"/>
              </w:rPr>
            </w:pPr>
            <w:r>
              <w:rPr>
                <w:rFonts w:hint="eastAsia"/>
                <w:highlight w:val="none"/>
                <w:lang w:val="en-US" w:eastAsia="zh-CN"/>
              </w:rPr>
              <w:t>3</w:t>
            </w:r>
          </w:p>
        </w:tc>
        <w:tc>
          <w:tcPr>
            <w:tcW w:w="2965" w:type="dxa"/>
          </w:tcPr>
          <w:p>
            <w:pPr>
              <w:shd w:val="clear"/>
              <w:rPr>
                <w:highlight w:val="none"/>
              </w:rPr>
            </w:pPr>
            <w:r>
              <w:rPr>
                <w:rFonts w:hint="eastAsia"/>
                <w:highlight w:val="none"/>
              </w:rPr>
              <w:sym w:font="Wingdings 2" w:char="0052"/>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rPr>
                <w:highlight w:val="none"/>
              </w:rPr>
            </w:pPr>
            <w:r>
              <w:rPr>
                <w:rFonts w:hint="eastAsia"/>
                <w:highlight w:val="none"/>
              </w:rPr>
              <w:t>50430</w:t>
            </w:r>
          </w:p>
        </w:tc>
        <w:tc>
          <w:tcPr>
            <w:tcW w:w="1698" w:type="dxa"/>
          </w:tcPr>
          <w:p>
            <w:pPr>
              <w:shd w:val="clear"/>
              <w:rPr>
                <w:rFonts w:hint="eastAsia" w:eastAsia="宋体"/>
                <w:highlight w:val="none"/>
                <w:lang w:eastAsia="zh-CN"/>
              </w:rPr>
            </w:pPr>
            <w:r>
              <w:rPr>
                <w:rFonts w:hint="eastAsia"/>
                <w:highlight w:val="none"/>
                <w:lang w:eastAsia="zh-CN"/>
              </w:rPr>
              <w:t>——</w:t>
            </w:r>
          </w:p>
        </w:tc>
        <w:tc>
          <w:tcPr>
            <w:tcW w:w="1717" w:type="dxa"/>
          </w:tcPr>
          <w:p>
            <w:pPr>
              <w:shd w:val="clear"/>
              <w:rPr>
                <w:highlight w:val="none"/>
              </w:rPr>
            </w:pPr>
          </w:p>
        </w:tc>
        <w:tc>
          <w:tcPr>
            <w:tcW w:w="1560" w:type="dxa"/>
          </w:tcPr>
          <w:p>
            <w:pPr>
              <w:shd w:val="clear"/>
              <w:rPr>
                <w:highlight w:val="none"/>
              </w:rPr>
            </w:pPr>
          </w:p>
        </w:tc>
        <w:tc>
          <w:tcPr>
            <w:tcW w:w="2965" w:type="dxa"/>
          </w:tcPr>
          <w:p>
            <w:pPr>
              <w:shd w:val="clea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rPr>
                <w:highlight w:val="none"/>
              </w:rPr>
            </w:pPr>
            <w:r>
              <w:rPr>
                <w:rFonts w:hint="eastAsia"/>
                <w:highlight w:val="none"/>
              </w:rPr>
              <w:t>EMS</w:t>
            </w:r>
          </w:p>
        </w:tc>
        <w:tc>
          <w:tcPr>
            <w:tcW w:w="1698" w:type="dxa"/>
          </w:tcPr>
          <w:p>
            <w:pPr>
              <w:shd w:val="clear"/>
              <w:rPr>
                <w:rFonts w:hint="eastAsia" w:eastAsia="宋体"/>
                <w:highlight w:val="none"/>
                <w:lang w:eastAsia="zh-CN"/>
              </w:rPr>
            </w:pPr>
            <w:r>
              <w:rPr>
                <w:rFonts w:hint="eastAsia"/>
                <w:highlight w:val="none"/>
                <w:lang w:eastAsia="zh-CN"/>
              </w:rPr>
              <w:t>——</w:t>
            </w:r>
          </w:p>
        </w:tc>
        <w:tc>
          <w:tcPr>
            <w:tcW w:w="1717" w:type="dxa"/>
          </w:tcPr>
          <w:p>
            <w:pPr>
              <w:shd w:val="clear"/>
              <w:rPr>
                <w:highlight w:val="none"/>
              </w:rPr>
            </w:pPr>
          </w:p>
        </w:tc>
        <w:tc>
          <w:tcPr>
            <w:tcW w:w="1560" w:type="dxa"/>
          </w:tcPr>
          <w:p>
            <w:pPr>
              <w:shd w:val="clear"/>
              <w:rPr>
                <w:highlight w:val="none"/>
              </w:rPr>
            </w:pPr>
          </w:p>
        </w:tc>
        <w:tc>
          <w:tcPr>
            <w:tcW w:w="2965" w:type="dxa"/>
          </w:tcPr>
          <w:p>
            <w:pPr>
              <w:shd w:val="clea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rPr>
                <w:highlight w:val="none"/>
              </w:rPr>
            </w:pPr>
            <w:r>
              <w:rPr>
                <w:rFonts w:hint="eastAsia"/>
                <w:highlight w:val="none"/>
              </w:rPr>
              <w:t>OHSMS</w:t>
            </w:r>
          </w:p>
        </w:tc>
        <w:tc>
          <w:tcPr>
            <w:tcW w:w="1698" w:type="dxa"/>
          </w:tcPr>
          <w:p>
            <w:pPr>
              <w:shd w:val="clear"/>
              <w:rPr>
                <w:rFonts w:hint="eastAsia" w:eastAsia="宋体"/>
                <w:highlight w:val="none"/>
                <w:lang w:eastAsia="zh-CN"/>
              </w:rPr>
            </w:pPr>
            <w:r>
              <w:rPr>
                <w:rFonts w:hint="eastAsia"/>
                <w:highlight w:val="none"/>
                <w:lang w:eastAsia="zh-CN"/>
              </w:rPr>
              <w:t>——</w:t>
            </w:r>
          </w:p>
        </w:tc>
        <w:tc>
          <w:tcPr>
            <w:tcW w:w="1717" w:type="dxa"/>
          </w:tcPr>
          <w:p>
            <w:pPr>
              <w:shd w:val="clear"/>
              <w:rPr>
                <w:highlight w:val="none"/>
              </w:rPr>
            </w:pPr>
          </w:p>
        </w:tc>
        <w:tc>
          <w:tcPr>
            <w:tcW w:w="1560" w:type="dxa"/>
          </w:tcPr>
          <w:p>
            <w:pPr>
              <w:shd w:val="clear"/>
              <w:rPr>
                <w:highlight w:val="none"/>
              </w:rPr>
            </w:pPr>
          </w:p>
        </w:tc>
        <w:tc>
          <w:tcPr>
            <w:tcW w:w="2965" w:type="dxa"/>
          </w:tcPr>
          <w:p>
            <w:pPr>
              <w:shd w:val="clea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rPr>
                <w:highlight w:val="none"/>
              </w:rPr>
            </w:pPr>
            <w:r>
              <w:rPr>
                <w:rFonts w:hint="eastAsia"/>
                <w:highlight w:val="none"/>
              </w:rPr>
              <w:t>FSMS</w:t>
            </w:r>
          </w:p>
        </w:tc>
        <w:tc>
          <w:tcPr>
            <w:tcW w:w="1698" w:type="dxa"/>
          </w:tcPr>
          <w:p>
            <w:pPr>
              <w:shd w:val="clear"/>
              <w:rPr>
                <w:rFonts w:hint="eastAsia" w:eastAsia="宋体"/>
                <w:highlight w:val="none"/>
                <w:lang w:val="en-US" w:eastAsia="zh-CN"/>
              </w:rPr>
            </w:pPr>
            <w:r>
              <w:rPr>
                <w:rFonts w:hint="eastAsia"/>
                <w:highlight w:val="none"/>
                <w:lang w:val="en-US" w:eastAsia="zh-CN"/>
              </w:rPr>
              <w:t>3</w:t>
            </w:r>
          </w:p>
        </w:tc>
        <w:tc>
          <w:tcPr>
            <w:tcW w:w="1717" w:type="dxa"/>
          </w:tcPr>
          <w:p>
            <w:pPr>
              <w:shd w:val="clear"/>
              <w:rPr>
                <w:rFonts w:hint="eastAsia" w:eastAsia="宋体"/>
                <w:highlight w:val="none"/>
                <w:lang w:val="en-US" w:eastAsia="zh-CN"/>
              </w:rPr>
            </w:pPr>
            <w:r>
              <w:rPr>
                <w:rFonts w:hint="eastAsia"/>
                <w:highlight w:val="none"/>
                <w:lang w:val="en-US" w:eastAsia="zh-CN"/>
              </w:rPr>
              <w:t>0</w:t>
            </w:r>
          </w:p>
        </w:tc>
        <w:tc>
          <w:tcPr>
            <w:tcW w:w="1560" w:type="dxa"/>
          </w:tcPr>
          <w:p>
            <w:pPr>
              <w:shd w:val="clear"/>
              <w:rPr>
                <w:rFonts w:hint="eastAsia" w:eastAsia="宋体"/>
                <w:highlight w:val="none"/>
                <w:lang w:val="en-US" w:eastAsia="zh-CN"/>
              </w:rPr>
            </w:pPr>
            <w:r>
              <w:rPr>
                <w:rFonts w:hint="eastAsia"/>
                <w:highlight w:val="none"/>
                <w:lang w:val="en-US" w:eastAsia="zh-CN"/>
              </w:rPr>
              <w:t>3</w:t>
            </w:r>
          </w:p>
        </w:tc>
        <w:tc>
          <w:tcPr>
            <w:tcW w:w="2965" w:type="dxa"/>
          </w:tcPr>
          <w:p>
            <w:pPr>
              <w:shd w:val="clear"/>
              <w:rPr>
                <w:highlight w:val="none"/>
              </w:rPr>
            </w:pPr>
            <w:r>
              <w:rPr>
                <w:rFonts w:hint="eastAsia"/>
                <w:highlight w:val="none"/>
              </w:rPr>
              <w:sym w:font="Wingdings 2" w:char="0052"/>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shd w:val="clear"/>
              <w:rPr>
                <w:highlight w:val="none"/>
              </w:rPr>
            </w:pPr>
            <w:r>
              <w:rPr>
                <w:rFonts w:hint="eastAsia"/>
                <w:highlight w:val="none"/>
              </w:rPr>
              <w:t>HACCP</w:t>
            </w:r>
          </w:p>
        </w:tc>
        <w:tc>
          <w:tcPr>
            <w:tcW w:w="1698" w:type="dxa"/>
          </w:tcPr>
          <w:p>
            <w:pPr>
              <w:shd w:val="clear"/>
              <w:rPr>
                <w:rFonts w:hint="eastAsia" w:eastAsia="宋体"/>
                <w:highlight w:val="none"/>
                <w:lang w:eastAsia="zh-CN"/>
              </w:rPr>
            </w:pPr>
            <w:r>
              <w:rPr>
                <w:rFonts w:hint="eastAsia"/>
                <w:highlight w:val="none"/>
                <w:lang w:eastAsia="zh-CN"/>
              </w:rPr>
              <w:t>——</w:t>
            </w:r>
          </w:p>
        </w:tc>
        <w:tc>
          <w:tcPr>
            <w:tcW w:w="1717" w:type="dxa"/>
          </w:tcPr>
          <w:p>
            <w:pPr>
              <w:shd w:val="clear"/>
              <w:rPr>
                <w:highlight w:val="none"/>
              </w:rPr>
            </w:pPr>
          </w:p>
        </w:tc>
        <w:tc>
          <w:tcPr>
            <w:tcW w:w="1560" w:type="dxa"/>
          </w:tcPr>
          <w:p>
            <w:pPr>
              <w:shd w:val="clear"/>
              <w:rPr>
                <w:highlight w:val="none"/>
              </w:rPr>
            </w:pPr>
          </w:p>
        </w:tc>
        <w:tc>
          <w:tcPr>
            <w:tcW w:w="2965" w:type="dxa"/>
          </w:tcPr>
          <w:p>
            <w:pPr>
              <w:shd w:val="clear"/>
              <w:rPr>
                <w:highlight w:val="none"/>
              </w:rPr>
            </w:pPr>
            <w:r>
              <w:rPr>
                <w:rFonts w:hint="eastAsia"/>
                <w:highlight w:val="none"/>
              </w:rPr>
              <w:t>□验证合格 □仍有问题：</w:t>
            </w:r>
          </w:p>
        </w:tc>
      </w:tr>
    </w:tbl>
    <w:p>
      <w:pPr>
        <w:shd w:val="clear"/>
        <w:ind w:firstLine="210" w:firstLineChars="100"/>
      </w:pPr>
      <w:r>
        <w:rPr>
          <w:rFonts w:hint="eastAsia"/>
        </w:rPr>
        <w:t>注1：若一个不符合涉及2个以上管理体系时可在每个体系分别表述</w:t>
      </w:r>
    </w:p>
    <w:p>
      <w:pPr>
        <w:shd w:val="clear"/>
        <w:ind w:firstLine="210" w:firstLineChars="100"/>
      </w:pPr>
      <w:r>
        <w:rPr>
          <w:rFonts w:hint="eastAsia"/>
        </w:rPr>
        <w:t>注2：本次审核开具的不符合项，分布见相关管理体系附件。</w:t>
      </w:r>
    </w:p>
    <w:p>
      <w:pPr>
        <w:shd w:val="clear"/>
        <w:ind w:firstLine="210" w:firstLineChars="100"/>
      </w:pPr>
      <w:r>
        <w:rPr>
          <w:rFonts w:hint="eastAsia"/>
        </w:rPr>
        <w:t>注3：本次审核发现不符合及存在问题对管理体系实现目标的影响□较大  □不大</w:t>
      </w:r>
    </w:p>
    <w:p>
      <w:pPr>
        <w:shd w:val="clear"/>
      </w:pPr>
    </w:p>
    <w:p>
      <w:pPr>
        <w:shd w:val="clear"/>
      </w:pPr>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1311"/>
        <w:gridCol w:w="1590"/>
        <w:gridCol w:w="4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pPr>
              <w:shd w:val="clear"/>
            </w:pPr>
            <w:r>
              <w:rPr>
                <w:rFonts w:hint="eastAsia"/>
              </w:rPr>
              <w:t>推荐内容</w:t>
            </w:r>
          </w:p>
        </w:tc>
        <w:tc>
          <w:tcPr>
            <w:tcW w:w="8350" w:type="dxa"/>
            <w:gridSpan w:val="4"/>
            <w:shd w:val="clear" w:color="auto" w:fill="auto"/>
          </w:tcPr>
          <w:p>
            <w:pPr>
              <w:shd w:val="clear"/>
            </w:pPr>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pPr>
              <w:shd w:val="clear"/>
            </w:pPr>
            <w:r>
              <w:rPr>
                <w:rFonts w:hint="eastAsia"/>
              </w:rPr>
              <w:t>管理体系评价</w:t>
            </w:r>
          </w:p>
        </w:tc>
        <w:tc>
          <w:tcPr>
            <w:tcW w:w="8350" w:type="dxa"/>
            <w:gridSpan w:val="4"/>
            <w:shd w:val="clear" w:color="auto" w:fill="auto"/>
          </w:tcPr>
          <w:p>
            <w:pPr>
              <w:shd w:val="clear"/>
            </w:pPr>
            <w:bookmarkStart w:id="35" w:name="Q勾选Add2"/>
            <w:r>
              <w:rPr>
                <w:rFonts w:hint="eastAsia"/>
              </w:rPr>
              <w:t>■</w:t>
            </w:r>
            <w:bookmarkEnd w:id="35"/>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shd w:val="clear"/>
            </w:pPr>
          </w:p>
        </w:tc>
        <w:tc>
          <w:tcPr>
            <w:tcW w:w="8350" w:type="dxa"/>
            <w:gridSpan w:val="4"/>
            <w:shd w:val="clear" w:color="auto" w:fill="auto"/>
          </w:tcPr>
          <w:p>
            <w:pPr>
              <w:shd w:val="clear"/>
            </w:pP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shd w:val="clear"/>
            </w:pPr>
          </w:p>
        </w:tc>
        <w:tc>
          <w:tcPr>
            <w:tcW w:w="8350" w:type="dxa"/>
            <w:gridSpan w:val="4"/>
            <w:shd w:val="clear" w:color="auto" w:fill="auto"/>
          </w:tcPr>
          <w:p>
            <w:pPr>
              <w:shd w:val="clear"/>
            </w:pPr>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shd w:val="clear"/>
            </w:pPr>
          </w:p>
        </w:tc>
        <w:tc>
          <w:tcPr>
            <w:tcW w:w="8350" w:type="dxa"/>
            <w:gridSpan w:val="4"/>
            <w:shd w:val="clear" w:color="auto" w:fill="auto"/>
          </w:tcPr>
          <w:p>
            <w:pPr>
              <w:shd w:val="clear"/>
            </w:pPr>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shd w:val="clear"/>
            </w:pPr>
          </w:p>
        </w:tc>
        <w:tc>
          <w:tcPr>
            <w:tcW w:w="8350" w:type="dxa"/>
            <w:gridSpan w:val="4"/>
            <w:shd w:val="clear" w:color="auto" w:fill="auto"/>
          </w:tcPr>
          <w:p>
            <w:pPr>
              <w:shd w:val="clear"/>
            </w:pPr>
            <w:bookmarkStart w:id="38" w:name="F勾选Add2"/>
            <w:r>
              <w:rPr>
                <w:rFonts w:hint="eastAsia"/>
              </w:rPr>
              <w:t>■</w:t>
            </w:r>
            <w:bookmarkEnd w:id="3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shd w:val="clear"/>
            </w:pPr>
          </w:p>
        </w:tc>
        <w:tc>
          <w:tcPr>
            <w:tcW w:w="8350" w:type="dxa"/>
            <w:gridSpan w:val="4"/>
            <w:shd w:val="clear" w:color="auto" w:fill="auto"/>
          </w:tcPr>
          <w:p>
            <w:pPr>
              <w:shd w:val="clear"/>
            </w:pPr>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pPr>
              <w:shd w:val="clear"/>
            </w:pPr>
            <w:r>
              <w:rPr>
                <w:rFonts w:hint="eastAsia"/>
              </w:rPr>
              <w:t>对审核范围适宜性结论</w:t>
            </w:r>
          </w:p>
          <w:p>
            <w:pPr>
              <w:shd w:val="clear"/>
            </w:pPr>
          </w:p>
        </w:tc>
        <w:tc>
          <w:tcPr>
            <w:tcW w:w="8350" w:type="dxa"/>
            <w:gridSpan w:val="4"/>
            <w:shd w:val="clear" w:color="auto" w:fill="auto"/>
          </w:tcPr>
          <w:p>
            <w:pPr>
              <w:shd w:val="clear"/>
            </w:pPr>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pPr>
              <w:shd w:val="clear"/>
            </w:pPr>
          </w:p>
        </w:tc>
        <w:tc>
          <w:tcPr>
            <w:tcW w:w="8350" w:type="dxa"/>
            <w:gridSpan w:val="4"/>
            <w:shd w:val="clear" w:color="auto" w:fill="auto"/>
          </w:tcPr>
          <w:p>
            <w:pPr>
              <w:shd w:val="clear"/>
            </w:pPr>
            <w:bookmarkStart w:id="40" w:name="范围变化"/>
            <w:r>
              <w:rPr>
                <w:rFonts w:hint="eastAsia"/>
              </w:rPr>
              <w:t>Q:</w:t>
            </w:r>
          </w:p>
          <w:p>
            <w:pPr>
              <w:shd w:val="clear"/>
              <w:rPr>
                <w:rFonts w:hint="eastAsia"/>
              </w:rPr>
            </w:pPr>
            <w:r>
              <w:rPr>
                <w:rFonts w:hint="eastAsia"/>
              </w:rPr>
              <w:t>F:</w:t>
            </w:r>
            <w:bookmarkEnd w:id="40"/>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30" w:type="dxa"/>
            <w:vMerge w:val="continue"/>
            <w:shd w:val="clear" w:color="auto" w:fill="auto"/>
          </w:tcPr>
          <w:p>
            <w:pPr>
              <w:shd w:val="clear"/>
            </w:pPr>
          </w:p>
        </w:tc>
        <w:tc>
          <w:tcPr>
            <w:tcW w:w="970" w:type="dxa"/>
            <w:shd w:val="clear" w:color="auto" w:fill="auto"/>
          </w:tcPr>
          <w:p>
            <w:pPr>
              <w:shd w:val="clear"/>
            </w:pPr>
            <w:r>
              <w:rPr>
                <w:rFonts w:hint="eastAsia"/>
              </w:rPr>
              <w:t>QMS</w:t>
            </w:r>
          </w:p>
        </w:tc>
        <w:tc>
          <w:tcPr>
            <w:tcW w:w="7380" w:type="dxa"/>
            <w:gridSpan w:val="3"/>
            <w:shd w:val="clear" w:color="auto" w:fill="auto"/>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30" w:type="dxa"/>
            <w:vMerge w:val="continue"/>
            <w:shd w:val="clear" w:color="auto" w:fill="auto"/>
          </w:tcPr>
          <w:p>
            <w:pPr>
              <w:shd w:val="clear"/>
            </w:pPr>
          </w:p>
        </w:tc>
        <w:tc>
          <w:tcPr>
            <w:tcW w:w="970" w:type="dxa"/>
            <w:shd w:val="clear" w:color="auto" w:fill="auto"/>
          </w:tcPr>
          <w:p>
            <w:pPr>
              <w:shd w:val="clear"/>
            </w:pPr>
            <w:r>
              <w:rPr>
                <w:rFonts w:hint="eastAsia"/>
              </w:rPr>
              <w:t>EcMS</w:t>
            </w:r>
          </w:p>
        </w:tc>
        <w:tc>
          <w:tcPr>
            <w:tcW w:w="7380" w:type="dxa"/>
            <w:gridSpan w:val="3"/>
            <w:shd w:val="clear" w:color="auto" w:fill="auto"/>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730" w:type="dxa"/>
            <w:vMerge w:val="continue"/>
            <w:shd w:val="clear" w:color="auto" w:fill="auto"/>
          </w:tcPr>
          <w:p>
            <w:pPr>
              <w:shd w:val="clear"/>
            </w:pPr>
          </w:p>
        </w:tc>
        <w:tc>
          <w:tcPr>
            <w:tcW w:w="970" w:type="dxa"/>
            <w:shd w:val="clear" w:color="auto" w:fill="auto"/>
          </w:tcPr>
          <w:p>
            <w:pPr>
              <w:shd w:val="clear"/>
            </w:pPr>
            <w:r>
              <w:rPr>
                <w:rFonts w:hint="eastAsia"/>
              </w:rPr>
              <w:t>EMS</w:t>
            </w:r>
          </w:p>
        </w:tc>
        <w:tc>
          <w:tcPr>
            <w:tcW w:w="7380" w:type="dxa"/>
            <w:gridSpan w:val="3"/>
            <w:shd w:val="clear" w:color="auto" w:fill="auto"/>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30" w:type="dxa"/>
            <w:vMerge w:val="continue"/>
            <w:shd w:val="clear" w:color="auto" w:fill="auto"/>
          </w:tcPr>
          <w:p>
            <w:pPr>
              <w:shd w:val="clear"/>
            </w:pPr>
          </w:p>
        </w:tc>
        <w:tc>
          <w:tcPr>
            <w:tcW w:w="970" w:type="dxa"/>
            <w:shd w:val="clear" w:color="auto" w:fill="auto"/>
          </w:tcPr>
          <w:p>
            <w:pPr>
              <w:shd w:val="clear"/>
            </w:pPr>
            <w:r>
              <w:rPr>
                <w:rFonts w:hint="eastAsia"/>
              </w:rPr>
              <w:t>OHSMS</w:t>
            </w:r>
          </w:p>
        </w:tc>
        <w:tc>
          <w:tcPr>
            <w:tcW w:w="7380" w:type="dxa"/>
            <w:gridSpan w:val="3"/>
            <w:shd w:val="clear" w:color="auto" w:fill="auto"/>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730" w:type="dxa"/>
            <w:vMerge w:val="continue"/>
            <w:shd w:val="clear" w:color="auto" w:fill="auto"/>
          </w:tcPr>
          <w:p>
            <w:pPr>
              <w:shd w:val="clear"/>
            </w:pPr>
          </w:p>
        </w:tc>
        <w:tc>
          <w:tcPr>
            <w:tcW w:w="970" w:type="dxa"/>
            <w:shd w:val="clear" w:color="auto" w:fill="auto"/>
          </w:tcPr>
          <w:p>
            <w:pPr>
              <w:shd w:val="clear"/>
            </w:pPr>
            <w:r>
              <w:rPr>
                <w:rFonts w:hint="eastAsia"/>
              </w:rPr>
              <w:t>FSMS</w:t>
            </w:r>
          </w:p>
        </w:tc>
        <w:tc>
          <w:tcPr>
            <w:tcW w:w="7380" w:type="dxa"/>
            <w:gridSpan w:val="3"/>
            <w:shd w:val="clear" w:color="auto" w:fill="auto"/>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30" w:type="dxa"/>
            <w:vMerge w:val="continue"/>
            <w:shd w:val="clear" w:color="auto" w:fill="auto"/>
          </w:tcPr>
          <w:p>
            <w:pPr>
              <w:shd w:val="clear"/>
            </w:pPr>
          </w:p>
        </w:tc>
        <w:tc>
          <w:tcPr>
            <w:tcW w:w="970" w:type="dxa"/>
            <w:shd w:val="clear" w:color="auto" w:fill="auto"/>
          </w:tcPr>
          <w:p>
            <w:pPr>
              <w:shd w:val="clear"/>
            </w:pPr>
            <w:r>
              <w:rPr>
                <w:rFonts w:hint="eastAsia"/>
              </w:rPr>
              <w:t>HACCP</w:t>
            </w:r>
          </w:p>
        </w:tc>
        <w:tc>
          <w:tcPr>
            <w:tcW w:w="7380" w:type="dxa"/>
            <w:gridSpan w:val="3"/>
            <w:shd w:val="clear" w:color="auto" w:fill="auto"/>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pPr>
              <w:shd w:val="clear"/>
            </w:pPr>
            <w:r>
              <w:rPr>
                <w:rFonts w:hint="eastAsia"/>
              </w:rPr>
              <w:t>审核组推荐意见</w:t>
            </w:r>
          </w:p>
          <w:p>
            <w:pPr>
              <w:shd w:val="clear"/>
            </w:pPr>
          </w:p>
        </w:tc>
        <w:tc>
          <w:tcPr>
            <w:tcW w:w="8350" w:type="dxa"/>
            <w:gridSpan w:val="4"/>
            <w:shd w:val="clear" w:color="auto" w:fill="auto"/>
          </w:tcPr>
          <w:p>
            <w:pPr>
              <w:shd w:val="clear"/>
            </w:pPr>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pPr>
              <w:shd w:val="clear"/>
            </w:pPr>
          </w:p>
        </w:tc>
        <w:tc>
          <w:tcPr>
            <w:tcW w:w="8350" w:type="dxa"/>
            <w:gridSpan w:val="4"/>
            <w:shd w:val="clear" w:color="auto" w:fill="auto"/>
          </w:tcPr>
          <w:p>
            <w:pPr>
              <w:shd w:val="clear"/>
            </w:pPr>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pPr>
              <w:shd w:val="clear"/>
            </w:pPr>
          </w:p>
        </w:tc>
        <w:tc>
          <w:tcPr>
            <w:tcW w:w="8350" w:type="dxa"/>
            <w:gridSpan w:val="4"/>
            <w:shd w:val="clear" w:color="auto" w:fill="auto"/>
          </w:tcPr>
          <w:p>
            <w:pPr>
              <w:shd w:val="clear"/>
            </w:pPr>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pPr>
              <w:shd w:val="clear"/>
            </w:pPr>
          </w:p>
        </w:tc>
        <w:tc>
          <w:tcPr>
            <w:tcW w:w="8350" w:type="dxa"/>
            <w:gridSpan w:val="4"/>
            <w:shd w:val="clear" w:color="auto" w:fill="auto"/>
          </w:tcPr>
          <w:p>
            <w:pPr>
              <w:shd w:val="clear"/>
            </w:pPr>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pPr>
              <w:shd w:val="clear"/>
            </w:pPr>
          </w:p>
        </w:tc>
        <w:tc>
          <w:tcPr>
            <w:tcW w:w="8350" w:type="dxa"/>
            <w:gridSpan w:val="4"/>
            <w:shd w:val="clear" w:color="auto" w:fill="auto"/>
          </w:tcPr>
          <w:p>
            <w:pPr>
              <w:shd w:val="clear"/>
            </w:pP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pPr>
              <w:shd w:val="clear"/>
            </w:pPr>
          </w:p>
        </w:tc>
        <w:tc>
          <w:tcPr>
            <w:tcW w:w="8350" w:type="dxa"/>
            <w:gridSpan w:val="4"/>
            <w:shd w:val="clear" w:color="auto" w:fill="auto"/>
          </w:tcPr>
          <w:p>
            <w:pPr>
              <w:shd w:val="clear"/>
            </w:pP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pPr>
              <w:shd w:val="clear"/>
            </w:pPr>
          </w:p>
        </w:tc>
        <w:tc>
          <w:tcPr>
            <w:tcW w:w="8350" w:type="dxa"/>
            <w:gridSpan w:val="4"/>
            <w:shd w:val="clear" w:color="auto" w:fill="auto"/>
          </w:tcPr>
          <w:p>
            <w:pPr>
              <w:shd w:val="clear"/>
            </w:pPr>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pPr>
              <w:shd w:val="clear"/>
            </w:pPr>
          </w:p>
        </w:tc>
        <w:tc>
          <w:tcPr>
            <w:tcW w:w="8350" w:type="dxa"/>
            <w:gridSpan w:val="4"/>
            <w:shd w:val="clear" w:color="auto" w:fill="auto"/>
          </w:tcPr>
          <w:p>
            <w:pPr>
              <w:shd w:val="clear"/>
            </w:pPr>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pPr>
              <w:shd w:val="clear"/>
            </w:pPr>
          </w:p>
        </w:tc>
        <w:tc>
          <w:tcPr>
            <w:tcW w:w="8350" w:type="dxa"/>
            <w:gridSpan w:val="4"/>
            <w:shd w:val="clear" w:color="auto" w:fill="auto"/>
          </w:tcPr>
          <w:p>
            <w:pPr>
              <w:shd w:val="clear"/>
            </w:pPr>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5"/>
            <w:shd w:val="clear" w:color="auto" w:fill="auto"/>
          </w:tcPr>
          <w:p>
            <w:pPr>
              <w:shd w:val="clear"/>
              <w:rPr>
                <w:rFonts w:hint="eastAsia" w:eastAsia="宋体"/>
                <w:lang w:eastAsia="zh-CN"/>
              </w:rPr>
            </w:pPr>
            <w:r>
              <w:rPr>
                <w:rFonts w:hint="eastAsia" w:ascii="宋体" w:hAnsi="宋体"/>
                <w:b/>
                <w:color w:val="000000"/>
                <w:spacing w:val="-10"/>
                <w:szCs w:val="21"/>
              </w:rPr>
              <w:t>远程审核的相关结论如下：</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r>
              <w:rPr>
                <w:rFonts w:hint="eastAsia" w:ascii="宋体" w:hAnsi="宋体"/>
                <w:b/>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shd w:val="clear"/>
              <w:rPr>
                <w:rFonts w:ascii="宋体"/>
                <w:b/>
                <w:color w:val="0000FF"/>
                <w:szCs w:val="21"/>
              </w:rPr>
            </w:pPr>
            <w:r>
              <w:rPr>
                <w:rFonts w:hint="eastAsia" w:ascii="宋体"/>
                <w:b/>
                <w:color w:val="0000FF"/>
                <w:szCs w:val="21"/>
              </w:rPr>
              <w:t>可能降低可靠性的障碍</w:t>
            </w:r>
          </w:p>
        </w:tc>
        <w:tc>
          <w:tcPr>
            <w:tcW w:w="8350" w:type="dxa"/>
            <w:gridSpan w:val="4"/>
            <w:shd w:val="clear" w:color="auto" w:fill="auto"/>
            <w:vAlign w:val="center"/>
          </w:tcPr>
          <w:p>
            <w:pPr>
              <w:shd w:val="clea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shd w:val="clear"/>
              <w:rPr>
                <w:rFonts w:ascii="宋体"/>
                <w:b/>
                <w:color w:val="0000FF"/>
                <w:szCs w:val="21"/>
              </w:rPr>
            </w:pPr>
            <w:r>
              <w:rPr>
                <w:rFonts w:hint="eastAsia" w:ascii="宋体"/>
                <w:b/>
                <w:color w:val="0000FF"/>
                <w:szCs w:val="21"/>
              </w:rPr>
              <w:t>突发事件的情况</w:t>
            </w:r>
          </w:p>
        </w:tc>
        <w:tc>
          <w:tcPr>
            <w:tcW w:w="8350" w:type="dxa"/>
            <w:gridSpan w:val="4"/>
            <w:shd w:val="clear" w:color="auto" w:fill="auto"/>
            <w:vAlign w:val="center"/>
          </w:tcPr>
          <w:p>
            <w:pPr>
              <w:shd w:val="clea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shd w:val="clea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突发事件的处置措施</w:t>
            </w:r>
          </w:p>
        </w:tc>
        <w:tc>
          <w:tcPr>
            <w:tcW w:w="8350" w:type="dxa"/>
            <w:gridSpan w:val="4"/>
            <w:shd w:val="clear" w:color="auto" w:fill="auto"/>
            <w:vAlign w:val="center"/>
          </w:tcPr>
          <w:p>
            <w:pPr>
              <w:shd w:val="clear"/>
              <w:rPr>
                <w:rFonts w:ascii="宋体"/>
                <w:b/>
                <w:color w:val="0000FF"/>
                <w:szCs w:val="21"/>
              </w:rPr>
            </w:pPr>
            <w:r>
              <w:rPr>
                <w:rFonts w:hint="eastAsia" w:ascii="宋体"/>
                <w:b/>
                <w:color w:val="0000FF"/>
                <w:szCs w:val="21"/>
              </w:rPr>
              <w:t>□中止审核  □终止审核  ☑延迟审核  □改为现场审核</w:t>
            </w:r>
          </w:p>
          <w:p>
            <w:pPr>
              <w:shd w:val="clea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restart"/>
            <w:shd w:val="clear" w:color="auto" w:fill="auto"/>
            <w:vAlign w:val="center"/>
          </w:tcPr>
          <w:p>
            <w:pPr>
              <w:shd w:val="clear"/>
              <w:rPr>
                <w:rFonts w:hint="eastAsia" w:ascii="宋体" w:hAnsi="Times New Roman" w:eastAsia="宋体" w:cs="Times New Roman"/>
                <w:b/>
                <w:color w:val="0000FF"/>
                <w:kern w:val="2"/>
                <w:sz w:val="21"/>
                <w:szCs w:val="21"/>
                <w:lang w:val="en-US" w:eastAsia="zh-CN" w:bidi="ar-SA"/>
              </w:rPr>
            </w:pPr>
            <w:r>
              <w:rPr>
                <w:rFonts w:hint="eastAsia"/>
                <w:b/>
                <w:bCs/>
                <w:color w:val="0000FF"/>
              </w:rPr>
              <w:t>远程审核的有效性评价（适用时）</w:t>
            </w:r>
          </w:p>
        </w:tc>
        <w:tc>
          <w:tcPr>
            <w:tcW w:w="8350" w:type="dxa"/>
            <w:gridSpan w:val="4"/>
            <w:shd w:val="clear" w:color="auto" w:fill="auto"/>
            <w:vAlign w:val="top"/>
          </w:tcPr>
          <w:p>
            <w:pPr>
              <w:shd w:val="clear"/>
              <w:spacing w:line="280" w:lineRule="exact"/>
              <w:rPr>
                <w:rFonts w:hint="eastAsia" w:ascii="Times New Roman" w:hAnsi="Times New Roman" w:eastAsia="宋体" w:cs="Times New Roman"/>
                <w:color w:val="0000FF"/>
                <w:kern w:val="2"/>
                <w:sz w:val="21"/>
                <w:szCs w:val="24"/>
                <w:lang w:val="en-US" w:eastAsia="zh-CN" w:bidi="ar-SA"/>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vAlign w:val="center"/>
          </w:tcPr>
          <w:p>
            <w:pPr>
              <w:shd w:val="clear"/>
              <w:rPr>
                <w:rFonts w:hint="eastAsia" w:ascii="宋体"/>
                <w:b/>
                <w:color w:val="0000FF"/>
                <w:szCs w:val="21"/>
              </w:rPr>
            </w:pPr>
          </w:p>
        </w:tc>
        <w:tc>
          <w:tcPr>
            <w:tcW w:w="8350" w:type="dxa"/>
            <w:gridSpan w:val="4"/>
            <w:shd w:val="clear" w:color="auto" w:fill="auto"/>
            <w:vAlign w:val="top"/>
          </w:tcPr>
          <w:p>
            <w:pPr>
              <w:shd w:val="clear"/>
              <w:spacing w:line="280" w:lineRule="exact"/>
              <w:rPr>
                <w:rFonts w:hint="eastAsia" w:ascii="Times New Roman" w:hAnsi="Times New Roman" w:eastAsia="宋体" w:cs="Times New Roman"/>
                <w:color w:val="0000FF"/>
                <w:kern w:val="2"/>
                <w:sz w:val="21"/>
                <w:szCs w:val="24"/>
                <w:lang w:val="en-US" w:eastAsia="zh-CN" w:bidi="ar-SA"/>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shd w:val="clear"/>
              <w:rPr>
                <w:rFonts w:hint="default" w:ascii="宋体" w:eastAsia="宋体"/>
                <w:b/>
                <w:color w:val="0000FF"/>
                <w:szCs w:val="21"/>
                <w:highlight w:val="none"/>
                <w:lang w:val="en-US" w:eastAsia="zh-CN"/>
              </w:rPr>
            </w:pPr>
            <w:bookmarkStart w:id="41" w:name="_GoBack" w:colFirst="0" w:colLast="3"/>
            <w:r>
              <w:rPr>
                <w:rFonts w:hint="eastAsia" w:ascii="宋体"/>
                <w:b/>
                <w:color w:val="0000FF"/>
                <w:szCs w:val="21"/>
                <w:highlight w:val="none"/>
                <w:lang w:val="en-US" w:eastAsia="zh-CN"/>
              </w:rPr>
              <w:t>审核组长签字</w:t>
            </w:r>
          </w:p>
        </w:tc>
        <w:tc>
          <w:tcPr>
            <w:tcW w:w="2281" w:type="dxa"/>
            <w:gridSpan w:val="2"/>
            <w:shd w:val="clear" w:color="auto" w:fill="auto"/>
            <w:vAlign w:val="center"/>
          </w:tcPr>
          <w:p>
            <w:pPr>
              <w:shd w:val="clear"/>
              <w:rPr>
                <w:rFonts w:hint="eastAsia"/>
                <w:highlight w:val="none"/>
              </w:rPr>
            </w:pPr>
          </w:p>
          <w:p>
            <w:pPr>
              <w:pStyle w:val="2"/>
              <w:rPr>
                <w:rFonts w:hint="eastAsia" w:ascii="宋体" w:eastAsia="宋体"/>
                <w:b/>
                <w:color w:val="0000FF"/>
                <w:szCs w:val="21"/>
                <w:highlight w:val="none"/>
                <w:lang w:eastAsia="zh-CN"/>
              </w:rPr>
            </w:pPr>
            <w:r>
              <w:rPr>
                <w:rFonts w:hint="eastAsia" w:ascii="宋体" w:eastAsia="宋体"/>
                <w:b/>
                <w:color w:val="0000FF"/>
                <w:szCs w:val="21"/>
                <w:highlight w:val="none"/>
                <w:lang w:eastAsia="zh-CN"/>
              </w:rPr>
              <w:drawing>
                <wp:anchor distT="0" distB="0" distL="114300" distR="114300" simplePos="0" relativeHeight="251659264" behindDoc="0" locked="0" layoutInCell="1" allowOverlap="1">
                  <wp:simplePos x="0" y="0"/>
                  <wp:positionH relativeFrom="column">
                    <wp:posOffset>141605</wp:posOffset>
                  </wp:positionH>
                  <wp:positionV relativeFrom="paragraph">
                    <wp:posOffset>26670</wp:posOffset>
                  </wp:positionV>
                  <wp:extent cx="590550" cy="323850"/>
                  <wp:effectExtent l="0" t="0" r="6350" b="6350"/>
                  <wp:wrapSquare wrapText="bothSides"/>
                  <wp:docPr id="1" name="图片 1"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0680694(1)"/>
                          <pic:cNvPicPr>
                            <a:picLocks noChangeAspect="1"/>
                          </pic:cNvPicPr>
                        </pic:nvPicPr>
                        <pic:blipFill>
                          <a:blip r:embed="rId6">
                            <a:lum bright="6000"/>
                          </a:blip>
                          <a:stretch>
                            <a:fillRect/>
                          </a:stretch>
                        </pic:blipFill>
                        <pic:spPr>
                          <a:xfrm>
                            <a:off x="0" y="0"/>
                            <a:ext cx="590550" cy="323850"/>
                          </a:xfrm>
                          <a:prstGeom prst="rect">
                            <a:avLst/>
                          </a:prstGeom>
                        </pic:spPr>
                      </pic:pic>
                    </a:graphicData>
                  </a:graphic>
                </wp:anchor>
              </w:drawing>
            </w:r>
          </w:p>
          <w:p>
            <w:pPr>
              <w:pStyle w:val="2"/>
              <w:rPr>
                <w:rFonts w:hint="eastAsia" w:ascii="宋体"/>
                <w:b/>
                <w:color w:val="0000FF"/>
                <w:szCs w:val="21"/>
                <w:highlight w:val="none"/>
              </w:rPr>
            </w:pPr>
          </w:p>
          <w:p>
            <w:pPr>
              <w:pStyle w:val="2"/>
              <w:rPr>
                <w:rFonts w:hint="eastAsia" w:ascii="宋体"/>
                <w:b/>
                <w:color w:val="0000FF"/>
                <w:szCs w:val="21"/>
                <w:highlight w:val="none"/>
              </w:rPr>
            </w:pPr>
          </w:p>
        </w:tc>
        <w:tc>
          <w:tcPr>
            <w:tcW w:w="1590" w:type="dxa"/>
            <w:shd w:val="clear" w:color="auto" w:fill="auto"/>
            <w:vAlign w:val="center"/>
          </w:tcPr>
          <w:p>
            <w:pPr>
              <w:shd w:val="clear"/>
              <w:rPr>
                <w:rFonts w:hint="eastAsia" w:ascii="宋体" w:eastAsia="宋体"/>
                <w:b/>
                <w:color w:val="0000FF"/>
                <w:szCs w:val="21"/>
                <w:highlight w:val="none"/>
                <w:lang w:val="en-US" w:eastAsia="zh-CN"/>
              </w:rPr>
            </w:pPr>
            <w:r>
              <w:rPr>
                <w:rFonts w:hint="eastAsia" w:ascii="宋体"/>
                <w:b/>
                <w:color w:val="0000FF"/>
                <w:szCs w:val="21"/>
                <w:highlight w:val="none"/>
                <w:lang w:val="en-US" w:eastAsia="zh-CN"/>
              </w:rPr>
              <w:t>日期</w:t>
            </w:r>
          </w:p>
        </w:tc>
        <w:tc>
          <w:tcPr>
            <w:tcW w:w="4479" w:type="dxa"/>
            <w:shd w:val="clear" w:color="auto" w:fill="auto"/>
            <w:vAlign w:val="center"/>
          </w:tcPr>
          <w:p>
            <w:pPr>
              <w:shd w:val="clea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2021-10-09</w:t>
            </w:r>
          </w:p>
        </w:tc>
      </w:tr>
      <w:bookmarkEnd w:id="41"/>
    </w:tbl>
    <w:p>
      <w:pPr>
        <w:shd w:val="clear"/>
      </w:pPr>
    </w:p>
    <w:p>
      <w:pPr>
        <w:shd w:val="clear"/>
      </w:pPr>
    </w:p>
    <w:p>
      <w:pPr>
        <w:shd w:val="clear"/>
      </w:pPr>
      <w:r>
        <w:rPr>
          <w:rFonts w:hint="eastAsia"/>
        </w:rPr>
        <w:t>十四、审核报告的发放范围：</w:t>
      </w:r>
    </w:p>
    <w:p>
      <w:pPr>
        <w:shd w:val="clear"/>
      </w:pPr>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pPr>
        <w:shd w:val="clear"/>
      </w:pPr>
      <w:r>
        <w:rPr>
          <w:rFonts w:hint="eastAsia"/>
        </w:rPr>
        <w:t>北京国标联合认证有限公司：                                         1份</w:t>
      </w:r>
    </w:p>
    <w:p>
      <w:pPr>
        <w:shd w:val="clear"/>
      </w:pPr>
    </w:p>
    <w:p>
      <w:pPr>
        <w:shd w:val="clear"/>
      </w:pPr>
      <w:r>
        <w:rPr>
          <w:rFonts w:hint="eastAsia"/>
        </w:rPr>
        <w:t>十五、附件</w:t>
      </w:r>
    </w:p>
    <w:p>
      <w:pPr>
        <w:shd w:val="clear"/>
      </w:pPr>
      <w:r>
        <w:t>1. 审核计划（含项目清单）</w:t>
      </w:r>
    </w:p>
    <w:p>
      <w:pPr>
        <w:shd w:val="clear"/>
      </w:pPr>
      <w:r>
        <w:t>2. 不符合报告/问题清单</w:t>
      </w:r>
    </w:p>
    <w:p>
      <w:pPr>
        <w:shd w:val="clear"/>
      </w:pPr>
      <w:r>
        <w:t xml:space="preserve">3. </w:t>
      </w:r>
      <w:r>
        <w:rPr>
          <w:rFonts w:hint="eastAsia"/>
        </w:rPr>
        <w:t>其他</w:t>
      </w:r>
    </w:p>
    <w:p>
      <w:pPr>
        <w:shd w:val="clear"/>
      </w:pPr>
    </w:p>
    <w:p>
      <w:pPr>
        <w:shd w:val="clear"/>
      </w:pPr>
      <w:r>
        <w:rPr>
          <w:rFonts w:hint="eastAsia"/>
        </w:rPr>
        <w:t>十六、填表说明：</w:t>
      </w:r>
    </w:p>
    <w:p>
      <w:pPr>
        <w:shd w:val="clear"/>
      </w:pPr>
      <w:r>
        <w:rPr>
          <w:rFonts w:hint="eastAsia"/>
        </w:rPr>
        <w:t>1. 本审核报告适用于单体系审核，也适用于多体系结合审核情况；</w:t>
      </w:r>
    </w:p>
    <w:p>
      <w:pPr>
        <w:shd w:val="clear"/>
      </w:pPr>
      <w:r>
        <w:rPr>
          <w:rFonts w:hint="eastAsia"/>
        </w:rPr>
        <w:t>2. 应依据审核任务书安排的管理体系领域（指：QMS/</w:t>
      </w:r>
      <w:r>
        <w:t>50430</w:t>
      </w:r>
      <w:r>
        <w:rPr>
          <w:rFonts w:hint="eastAsia"/>
        </w:rPr>
        <w:t>， EMS，OHSMS,EnMS,FSMS,HACCP）和审核类型（指：二阶段、再认证，在相应的□内划“√”；</w:t>
      </w:r>
    </w:p>
    <w:p>
      <w:pPr>
        <w:shd w:val="clear"/>
      </w:pPr>
      <w:r>
        <w:rPr>
          <w:rFonts w:hint="eastAsia"/>
        </w:rPr>
        <w:t>3. “括号”内属于本报告基本要求的内容，除按要求填写外，未说明的一般应说明负面的发现和潜在的问题或审核组认为应该指明的情况，内容多时可附页；</w:t>
      </w:r>
    </w:p>
    <w:p>
      <w:pPr>
        <w:shd w:val="clear"/>
      </w:pPr>
      <w:r>
        <w:rPr>
          <w:rFonts w:hint="eastAsia"/>
        </w:rPr>
        <w:t>4. 公正性声明和审核报告签字处需本人亲笔签名。</w:t>
      </w:r>
    </w:p>
    <w:p>
      <w:pPr>
        <w:shd w:val="clear"/>
      </w:pPr>
      <w:r>
        <w:rPr>
          <w:rFonts w:hint="eastAsia"/>
        </w:rPr>
        <w:t xml:space="preserve">5. 对子证书/证书附件要求的组织，除在末次会议上确定注册范围外，还须附上子证书/证书附件的文字表达。(可另附页)  </w:t>
      </w:r>
    </w:p>
    <w:p>
      <w:pPr>
        <w:shd w:val="clear"/>
      </w:pPr>
    </w:p>
    <w:p>
      <w:pPr>
        <w:pStyle w:val="2"/>
      </w:pPr>
    </w:p>
    <w:p>
      <w:pPr>
        <w:pStyle w:val="2"/>
      </w:pPr>
    </w:p>
    <w:p>
      <w:pPr>
        <w:pStyle w:val="2"/>
        <w:ind w:left="0" w:leftChars="0" w:firstLine="0" w:firstLineChars="0"/>
      </w:pPr>
    </w:p>
    <w:p>
      <w:pPr>
        <w:pStyle w:val="2"/>
      </w:pPr>
    </w:p>
    <w:p>
      <w:pPr>
        <w:pStyle w:val="2"/>
      </w:pPr>
    </w:p>
    <w:p>
      <w:r>
        <w:br w:type="page"/>
      </w:r>
    </w:p>
    <w:p>
      <w:pPr>
        <w:shd w:val="clear"/>
        <w:rPr>
          <w:shd w:val="clear" w:color="FFFFFF" w:fill="D9D9D9"/>
          <w:lang w:eastAsia="zh-CN"/>
        </w:rPr>
      </w:pPr>
      <w:r>
        <w:rPr>
          <w:shd w:val="clear" w:color="FFFFFF" w:fill="D9D9D9"/>
          <w:lang w:eastAsia="zh-CN"/>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keepNext w:val="0"/>
                    <w:keepLines w:val="0"/>
                    <w:widowControl w:val="0"/>
                    <w:numPr>
                      <w:ilvl w:val="0"/>
                      <w:numId w:val="0"/>
                    </w:numPr>
                    <w:suppressLineNumbers w:val="0"/>
                    <w:shd w:val="clear"/>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hd w:val="clear"/>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hd w:val="clear"/>
                    <w:tabs>
                      <w:tab w:val="center" w:pos="3579"/>
                    </w:tabs>
                    <w:spacing w:before="0" w:beforeAutospacing="0" w:after="0" w:afterAutospacing="0"/>
                    <w:ind w:left="0" w:right="0"/>
                    <w:jc w:val="both"/>
                    <w:rPr>
                      <w:rFonts w:hint="eastAsia"/>
                      <w:vertAlign w:val="baseline"/>
                      <w:lang w:val="en-US" w:eastAsia="zh-CN"/>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法律法规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技术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竞争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市场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文化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社会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经济环境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政治环境□</w:t>
                  </w:r>
                  <w:r>
                    <w:rPr>
                      <w:rFonts w:hint="eastAsia" w:asciiTheme="minorEastAsia" w:hAnsiTheme="minorEastAsia" w:eastAsiaTheme="minorEastAsia"/>
                      <w:color w:val="000000"/>
                      <w:szCs w:val="21"/>
                    </w:rPr>
                    <w:t xml:space="preserve">网络安全 </w:t>
                  </w:r>
                  <w:r>
                    <w:rPr>
                      <w:rFonts w:hint="eastAsia" w:asciiTheme="minorEastAsia" w:hAnsiTheme="minorEastAsia" w:eastAsiaTheme="minorEastAsia"/>
                      <w:szCs w:val="21"/>
                    </w:rPr>
                    <w:sym w:font="Wingdings 2" w:char="0052"/>
                  </w:r>
                  <w:r>
                    <w:rPr>
                      <w:rFonts w:hint="eastAsia" w:asciiTheme="minorEastAsia" w:hAnsiTheme="minorEastAsia" w:eastAsiaTheme="minorEastAsia"/>
                      <w:color w:val="000000"/>
                      <w:szCs w:val="21"/>
                    </w:rPr>
                    <w:t xml:space="preserve">食品欺诈 </w:t>
                  </w:r>
                  <w:r>
                    <w:rPr>
                      <w:rFonts w:hint="eastAsia" w:asciiTheme="minorEastAsia" w:hAnsiTheme="minorEastAsia" w:eastAsiaTheme="minorEastAsia"/>
                      <w:szCs w:val="21"/>
                    </w:rPr>
                    <w:sym w:font="Wingdings 2" w:char="0052"/>
                  </w:r>
                  <w:r>
                    <w:rPr>
                      <w:rFonts w:hint="eastAsia" w:asciiTheme="minorEastAsia" w:hAnsiTheme="minorEastAsia" w:eastAsiaTheme="minorEastAsia"/>
                      <w:color w:val="000000"/>
                      <w:szCs w:val="21"/>
                    </w:rPr>
                    <w:t xml:space="preserve">食品防护 </w:t>
                  </w:r>
                  <w:r>
                    <w:rPr>
                      <w:rFonts w:hint="eastAsia" w:asciiTheme="minorEastAsia" w:hAnsiTheme="minorEastAsia" w:eastAsiaTheme="minorEastAsia"/>
                      <w:szCs w:val="21"/>
                    </w:rPr>
                    <w:sym w:font="Wingdings 2" w:char="0052"/>
                  </w:r>
                  <w:r>
                    <w:rPr>
                      <w:rFonts w:hint="eastAsia" w:asciiTheme="minorEastAsia" w:hAnsiTheme="minorEastAsia" w:eastAsiaTheme="minorEastAsia"/>
                      <w:color w:val="000000"/>
                      <w:szCs w:val="21"/>
                    </w:rPr>
                    <w:t xml:space="preserve">蓄意污染 </w:t>
                  </w:r>
                  <w:r>
                    <w:rPr>
                      <w:rFonts w:hint="eastAsia" w:asciiTheme="minorEastAsia" w:hAnsiTheme="minorEastAsia" w:eastAsiaTheme="minor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价值观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文化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知识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绩效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工艺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hint="eastAsia" w:asciiTheme="minorEastAsia" w:hAnsiTheme="minorEastAsia" w:eastAsiaTheme="minorEastAsia"/>
                      <w:position w:val="2"/>
                      <w:szCs w:val="21"/>
                    </w:rPr>
                    <w:instrText xml:space="preserve">√</w:instrText>
                  </w:r>
                  <w:r>
                    <w:rPr>
                      <w:rFonts w:hint="eastAsia" w:asciiTheme="minorEastAsia" w:hAnsiTheme="minorEastAsia" w:eastAsiaTheme="minorEastAsia"/>
                      <w:szCs w:val="21"/>
                    </w:rPr>
                    <w:instrText xml:space="preserve">)</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设备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人员能力 □其他 </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消费者</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suppressLineNumbers w:val="0"/>
              <w:shd w:val="clear"/>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hd w:val="clear"/>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spacing w:before="40" w:after="4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市场拓展 </w:t>
            </w:r>
            <w:r>
              <w:rPr>
                <w:rFonts w:hint="eastAsia"/>
              </w:rPr>
              <w:sym w:font="Wingdings 2" w:char="0052"/>
            </w:r>
            <w:r>
              <w:rPr>
                <w:rFonts w:hint="eastAsia"/>
              </w:rPr>
              <w:t xml:space="preserve">设备能力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□检测水平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合同评审 □知识保密 </w:t>
            </w:r>
          </w:p>
          <w:p>
            <w:pPr>
              <w:spacing w:before="40" w:after="40"/>
            </w:pPr>
            <w:r>
              <w:rPr>
                <w:rFonts w:hint="eastAsia"/>
              </w:rPr>
              <w:t xml:space="preserve">□新产品设计开发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原材料采购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外部供方控制 </w:t>
            </w:r>
            <w:r>
              <w:rPr>
                <w:rFonts w:hint="eastAsia"/>
              </w:rPr>
              <w:sym w:font="Wingdings 2" w:char="0052"/>
            </w:r>
            <w:r>
              <w:rPr>
                <w:rFonts w:hint="eastAsia"/>
              </w:rPr>
              <w:t>生产/服务控制 □其他</w:t>
            </w:r>
          </w:p>
          <w:p>
            <w:pPr>
              <w:pStyle w:val="2"/>
            </w:pPr>
          </w:p>
          <w:p>
            <w:pPr>
              <w:keepNext w:val="0"/>
              <w:keepLines w:val="0"/>
              <w:suppressLineNumbers w:val="0"/>
              <w:shd w:val="clear"/>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hd w:val="clear"/>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rPr>
              <w:t>□</w:t>
            </w:r>
            <w:r>
              <w:rPr>
                <w:rFonts w:hint="eastAsia"/>
                <w:vertAlign w:val="baseline"/>
                <w:lang w:val="en-US" w:eastAsia="zh-CN"/>
              </w:rPr>
              <w:t xml:space="preserve">原材料订制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检验检测</w:t>
            </w:r>
            <w:r>
              <w:rPr>
                <w:rFonts w:hint="eastAsia"/>
                <w:vertAlign w:val="baseline"/>
                <w:lang w:val="en-US" w:eastAsia="zh-CN"/>
              </w:rPr>
              <w:t xml:space="preserve"> </w:t>
            </w:r>
            <w:r>
              <w:rPr>
                <w:rFonts w:hint="eastAsia"/>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hd w:val="clear"/>
              <w:spacing w:before="40" w:beforeAutospacing="0" w:after="40" w:afterAutospacing="0" w:line="240" w:lineRule="auto"/>
              <w:ind w:left="0" w:right="0"/>
              <w:rPr>
                <w:rFonts w:hint="default"/>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sym w:font="Wingdings 2" w:char="0052"/>
            </w:r>
            <w:r>
              <w:rPr>
                <w:rFonts w:hint="eastAsia"/>
                <w:vertAlign w:val="baseline"/>
                <w:lang w:val="en-US" w:eastAsia="zh-CN"/>
              </w:rPr>
              <w:t xml:space="preserve">其他——无 </w:t>
            </w:r>
            <w:r>
              <w:rPr>
                <w:rFonts w:hint="eastAsia"/>
                <w:lang w:eastAsia="zh-CN"/>
              </w:rPr>
              <w:t>□</w:t>
            </w:r>
            <w:r>
              <w:rPr>
                <w:rFonts w:hint="eastAsia"/>
                <w:lang w:val="en-US" w:eastAsia="zh-CN"/>
              </w:rPr>
              <w:t>储存</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r>
              <w:rPr>
                <w:rFonts w:hint="eastAsia"/>
                <w:highlight w:val="none"/>
                <w:vertAlign w:val="baseline"/>
              </w:rPr>
              <w:t>领导作用</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w:t>
            </w:r>
            <w:r>
              <w:rPr>
                <w:rFonts w:hint="eastAsia"/>
                <w:highlight w:val="none"/>
                <w:vertAlign w:val="baseline"/>
                <w:lang w:val="en-US" w:eastAsia="zh-CN"/>
              </w:rPr>
              <w:t>确定并</w:t>
            </w:r>
            <w:r>
              <w:rPr>
                <w:rFonts w:hint="eastAsia"/>
                <w:highlight w:val="none"/>
                <w:vertAlign w:val="baseline"/>
              </w:rPr>
              <w:t>证实</w:t>
            </w:r>
            <w:r>
              <w:rPr>
                <w:rFonts w:hint="eastAsia"/>
                <w:highlight w:val="none"/>
                <w:vertAlign w:val="baseline"/>
                <w:lang w:val="en-US" w:eastAsia="zh-CN"/>
              </w:rPr>
              <w:t>了</w:t>
            </w:r>
            <w:r>
              <w:rPr>
                <w:rFonts w:hint="eastAsia"/>
                <w:highlight w:val="none"/>
                <w:vertAlign w:val="baseline"/>
              </w:rPr>
              <w:t>对</w:t>
            </w:r>
            <w:r>
              <w:rPr>
                <w:rFonts w:hint="eastAsia"/>
                <w:highlight w:val="none"/>
                <w:vertAlign w:val="baseline"/>
                <w:lang w:val="en-US" w:eastAsia="zh-CN"/>
              </w:rPr>
              <w:t>相关</w:t>
            </w:r>
            <w:r>
              <w:rPr>
                <w:rFonts w:hint="eastAsia"/>
                <w:highlight w:val="none"/>
                <w:vertAlign w:val="baseline"/>
              </w:rPr>
              <w:t>管理体系的领导作用与承诺</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lang w:val="en-US" w:eastAsia="zh-CN"/>
              </w:rPr>
            </w:pPr>
            <w:r>
              <w:rPr>
                <w:rFonts w:hint="eastAsia"/>
                <w:lang w:val="en-US" w:eastAsia="zh-CN"/>
              </w:rPr>
              <w:t>QMS最高管理者应确及证实其以顾客为关注焦点的领导作用和承诺；</w:t>
            </w:r>
          </w:p>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通过——</w:t>
            </w:r>
          </w:p>
          <w:p>
            <w:pPr>
              <w:rPr>
                <w:rFonts w:hint="eastAsia"/>
                <w:lang w:val="en-US" w:eastAsia="zh-CN"/>
              </w:rPr>
            </w:pPr>
            <w:r>
              <w:rPr>
                <w:rFonts w:hint="eastAsia"/>
              </w:rPr>
              <w:sym w:font="Wingdings 2" w:char="0052"/>
            </w:r>
            <w:r>
              <w:rPr>
                <w:rFonts w:hint="eastAsia"/>
              </w:rPr>
              <w:t xml:space="preserve">以身作则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建立机制 </w:t>
            </w:r>
            <w:r>
              <w:rPr>
                <w:rFonts w:hint="eastAsia"/>
              </w:rPr>
              <w:sym w:font="Wingdings 2" w:char="0052"/>
            </w:r>
            <w:r>
              <w:rPr>
                <w:rFonts w:hint="eastAsia"/>
              </w:rPr>
              <w:t xml:space="preserve">法规宣传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风险机遇的应对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重视顾客反馈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目标考核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u w:val="single"/>
                <w:vertAlign w:val="baseline"/>
                <w:lang w:val="en-US" w:eastAsia="zh-CN"/>
              </w:rPr>
            </w:pPr>
            <w:r>
              <w:rPr>
                <w:rFonts w:hint="eastAsia"/>
                <w:highlight w:val="none"/>
                <w:vertAlign w:val="baseline"/>
              </w:rPr>
              <w:t>最高管理者制定</w:t>
            </w:r>
            <w:r>
              <w:rPr>
                <w:rFonts w:hint="eastAsia"/>
                <w:highlight w:val="none"/>
                <w:vertAlign w:val="baseline"/>
                <w:lang w:val="en-US" w:eastAsia="zh-CN"/>
              </w:rPr>
              <w:t>了文件化的管理体系</w:t>
            </w:r>
            <w:r>
              <w:rPr>
                <w:rFonts w:hint="eastAsia"/>
                <w:highlight w:val="none"/>
                <w:vertAlign w:val="baseline"/>
              </w:rPr>
              <w:t>方针</w:t>
            </w:r>
            <w:r>
              <w:rPr>
                <w:rFonts w:hint="eastAsia"/>
                <w:highlight w:val="none"/>
                <w:vertAlign w:val="baseline"/>
                <w:lang w:eastAsia="zh-CN"/>
              </w:rPr>
              <w:t>：</w:t>
            </w:r>
          </w:p>
          <w:p>
            <w:pPr>
              <w:spacing w:line="360" w:lineRule="auto"/>
              <w:ind w:firstLine="420" w:firstLineChars="200"/>
              <w:rPr>
                <w:rFonts w:ascii="宋体" w:hAnsi="宋体"/>
                <w:szCs w:val="21"/>
                <w:u w:val="single"/>
              </w:rPr>
            </w:pPr>
            <w:r>
              <w:rPr>
                <w:rFonts w:hint="eastAsia" w:ascii="宋体" w:hAnsi="宋体"/>
                <w:szCs w:val="21"/>
                <w:u w:val="single"/>
              </w:rPr>
              <w:t xml:space="preserve">安全第一——提供优质大米加工，确保食品卫生安全； </w:t>
            </w:r>
          </w:p>
          <w:p>
            <w:pPr>
              <w:spacing w:line="360" w:lineRule="auto"/>
              <w:ind w:firstLine="420" w:firstLineChars="200"/>
              <w:rPr>
                <w:rFonts w:ascii="宋体" w:hAnsi="宋体"/>
                <w:szCs w:val="21"/>
                <w:u w:val="single"/>
              </w:rPr>
            </w:pPr>
            <w:r>
              <w:rPr>
                <w:rFonts w:hint="eastAsia" w:ascii="宋体" w:hAnsi="宋体"/>
                <w:szCs w:val="21"/>
                <w:u w:val="single"/>
              </w:rPr>
              <w:t xml:space="preserve">质量至上——创建绿色文明环境，持续改进管理体系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GB" w:eastAsia="zh-CN"/>
              </w:rPr>
              <w:t>质量方针合理恰当并为相应的质量目标提供了框架。</w:t>
            </w:r>
            <w:r>
              <w:rPr>
                <w:rFonts w:hint="eastAsia"/>
                <w:highlight w:val="none"/>
                <w:vertAlign w:val="baseline"/>
                <w:lang w:eastAsia="zh-CN"/>
              </w:rPr>
              <w:t>最高</w:t>
            </w:r>
            <w:r>
              <w:rPr>
                <w:rFonts w:hint="eastAsia"/>
                <w:highlight w:val="none"/>
                <w:vertAlign w:val="baseline"/>
                <w:lang w:val="en-GB" w:eastAsia="zh-CN"/>
              </w:rPr>
              <w:t>管理层已经宣布了组织的质量方针并进行了实施，它使所有员工负起持续改进质量管理体系的责任，</w:t>
            </w:r>
            <w:r>
              <w:rPr>
                <w:rFonts w:hint="eastAsia"/>
                <w:highlight w:val="none"/>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rPr>
              <w:t>最高管理者确</w:t>
            </w:r>
            <w:r>
              <w:rPr>
                <w:rFonts w:hint="eastAsia"/>
                <w:highlight w:val="none"/>
                <w:vertAlign w:val="baseline"/>
                <w:lang w:val="en-US" w:eastAsia="zh-CN"/>
              </w:rPr>
              <w:t>定了</w:t>
            </w:r>
            <w:r>
              <w:rPr>
                <w:rFonts w:hint="eastAsia"/>
                <w:highlight w:val="none"/>
                <w:vertAlign w:val="baseline"/>
              </w:rPr>
              <w:t>组织</w:t>
            </w:r>
            <w:r>
              <w:rPr>
                <w:rFonts w:hint="eastAsia"/>
                <w:highlight w:val="none"/>
                <w:vertAlign w:val="baseline"/>
                <w:lang w:val="en-US" w:eastAsia="zh-CN"/>
              </w:rPr>
              <w:t>架构及</w:t>
            </w:r>
            <w:r>
              <w:rPr>
                <w:rFonts w:hint="eastAsia"/>
                <w:highlight w:val="none"/>
                <w:vertAlign w:val="baseline"/>
              </w:rPr>
              <w:t>相关岗位的职责、权限</w:t>
            </w:r>
            <w:r>
              <w:rPr>
                <w:rFonts w:hint="eastAsia"/>
                <w:highlight w:val="none"/>
                <w:vertAlign w:val="baseline"/>
                <w:lang w:eastAsia="zh-CN"/>
              </w:rPr>
              <w:t>，</w:t>
            </w:r>
            <w:r>
              <w:rPr>
                <w:rFonts w:hint="eastAsia"/>
                <w:highlight w:val="none"/>
                <w:vertAlign w:val="baseline"/>
                <w:lang w:val="en-US" w:eastAsia="zh-CN"/>
              </w:rPr>
              <w:t>并进行了全员的</w:t>
            </w:r>
            <w:r>
              <w:rPr>
                <w:rFonts w:hint="eastAsia"/>
                <w:highlight w:val="none"/>
                <w:vertAlign w:val="baseline"/>
              </w:rPr>
              <w:t>沟通和理解</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yellow"/>
                <w:vertAlign w:val="baseline"/>
                <w:lang w:val="en-US" w:eastAsia="zh-CN"/>
              </w:rPr>
            </w:pPr>
            <w:r>
              <w:rPr>
                <w:rFonts w:hint="eastAsia"/>
                <w:highlight w:val="none"/>
                <w:vertAlign w:val="baseline"/>
                <w:lang w:val="en-US" w:eastAsia="zh-CN"/>
              </w:rPr>
              <w:t>QMS的主管部门是——</w:t>
            </w:r>
            <w:r>
              <w:rPr>
                <w:rFonts w:hint="eastAsia"/>
                <w:color w:val="0000FF"/>
                <w:highlight w:val="none"/>
                <w:u w:val="single"/>
                <w:vertAlign w:val="baseline"/>
                <w:lang w:val="en-US" w:eastAsia="zh-CN"/>
              </w:rPr>
              <w:t>管理层、生产部、品管部等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tcPr>
                <w:p>
                  <w:pPr>
                    <w:keepNext w:val="0"/>
                    <w:keepLines w:val="0"/>
                    <w:widowControl w:val="0"/>
                    <w:numPr>
                      <w:ilvl w:val="0"/>
                      <w:numId w:val="0"/>
                    </w:numPr>
                    <w:suppressLineNumbers w:val="0"/>
                    <w:shd w:val="clear"/>
                    <w:spacing w:before="0" w:beforeAutospacing="0" w:after="0" w:afterAutospacing="0"/>
                    <w:ind w:left="0" w:right="0"/>
                    <w:jc w:val="both"/>
                    <w:rPr>
                      <w:rFonts w:hint="default"/>
                      <w:color w:val="000000" w:themeColor="text1"/>
                      <w:vertAlign w:val="baseline"/>
                      <w:lang w:val="en-US" w:eastAsia="zh-CN"/>
                    </w:rPr>
                  </w:pPr>
                  <w:r>
                    <w:rPr>
                      <w:rFonts w:hint="eastAsia"/>
                      <w:color w:val="000000" w:themeColor="text1"/>
                      <w:vertAlign w:val="baseline"/>
                      <w:lang w:val="en-US" w:eastAsia="zh-CN"/>
                    </w:rPr>
                    <w:t>主要的风险或机遇描述</w:t>
                  </w:r>
                </w:p>
              </w:tc>
              <w:tc>
                <w:tcPr>
                  <w:tcW w:w="3965" w:type="dxa"/>
                  <w:shd w:val="clear" w:color="auto" w:fill="auto"/>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vertAlign w:val="baseline"/>
                      <w:lang w:val="en-US" w:eastAsia="zh-CN" w:bidi="ar-SA"/>
                    </w:rPr>
                  </w:pPr>
                  <w:r>
                    <w:rPr>
                      <w:rFonts w:hint="eastAsia"/>
                      <w:color w:val="000000" w:themeColor="text1"/>
                      <w:vertAlign w:val="baseline"/>
                      <w:lang w:val="en-US" w:eastAsia="zh-CN"/>
                    </w:rPr>
                    <w:t>应对措施</w:t>
                  </w:r>
                </w:p>
              </w:tc>
              <w:tc>
                <w:tcPr>
                  <w:tcW w:w="1717" w:type="dxa"/>
                  <w:shd w:val="clear" w:color="auto" w:fill="auto"/>
                </w:tcPr>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 w:hRule="atLeast"/>
              </w:trPr>
              <w:tc>
                <w:tcPr>
                  <w:tcW w:w="2840" w:type="dxa"/>
                  <w:shd w:val="clear" w:color="auto" w:fill="auto"/>
                  <w:vAlign w:val="center"/>
                </w:tcPr>
                <w:p>
                  <w:pPr>
                    <w:widowControl/>
                    <w:jc w:val="left"/>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市场竞争加剧带来的成本压力会引发风险；竞争会促进公司管理的提升</w:t>
                  </w:r>
                </w:p>
              </w:tc>
              <w:tc>
                <w:tcPr>
                  <w:tcW w:w="3965" w:type="dxa"/>
                  <w:shd w:val="clear" w:color="auto" w:fill="auto"/>
                  <w:vAlign w:val="top"/>
                </w:tcPr>
                <w:p>
                  <w:pPr>
                    <w:widowControl/>
                    <w:rPr>
                      <w:rFonts w:hint="default" w:cs="Times New Roman" w:asciiTheme="minorEastAsia" w:hAnsiTheme="minorEastAsia" w:eastAsiaTheme="minorEastAsia"/>
                      <w:kern w:val="0"/>
                      <w:sz w:val="21"/>
                      <w:szCs w:val="21"/>
                      <w:lang w:val="en-US" w:eastAsia="zh-CN" w:bidi="ar-SA"/>
                    </w:rPr>
                  </w:pPr>
                  <w:r>
                    <w:rPr>
                      <w:rFonts w:hint="eastAsia" w:asciiTheme="minorEastAsia" w:hAnsiTheme="minorEastAsia" w:eastAsiaTheme="minorEastAsia"/>
                      <w:szCs w:val="21"/>
                    </w:rPr>
                    <w:t>业务负责通过网络，行业交流会、顾客沟通等分析同行业设计的竞争情况，包括价格、质量、服务等</w:t>
                  </w:r>
                </w:p>
              </w:tc>
              <w:tc>
                <w:tcPr>
                  <w:tcW w:w="1717" w:type="dxa"/>
                  <w:shd w:val="clear" w:color="auto" w:fill="auto"/>
                  <w:vAlign w:val="top"/>
                </w:tcPr>
                <w:p>
                  <w:pPr>
                    <w:keepNext w:val="0"/>
                    <w:keepLines w:val="0"/>
                    <w:suppressLineNumbers w:val="0"/>
                    <w:shd w:val="clear"/>
                    <w:spacing w:before="0" w:beforeAutospacing="0" w:after="0" w:afterAutospacing="0"/>
                    <w:ind w:left="0" w:right="0"/>
                    <w:rPr>
                      <w:rFonts w:hint="eastAsia"/>
                      <w:color w:val="0000FF"/>
                      <w:vertAlign w:val="baseline"/>
                      <w:lang w:val="en-US" w:eastAsia="zh-CN"/>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spacing w:line="400" w:lineRule="exact"/>
                    <w:rPr>
                      <w:rFonts w:hint="eastAsia" w:cs="Times New Roman" w:asciiTheme="minorEastAsia" w:hAnsiTheme="minorEastAsia" w:eastAsiaTheme="minorEastAsia"/>
                      <w:kern w:val="0"/>
                      <w:sz w:val="21"/>
                      <w:szCs w:val="21"/>
                      <w:lang w:val="en-US" w:eastAsia="zh-CN" w:bidi="ar-SA"/>
                    </w:rPr>
                  </w:pPr>
                  <w:r>
                    <w:rPr>
                      <w:rFonts w:hint="eastAsia" w:ascii="宋体" w:hAnsi="宋体"/>
                      <w:szCs w:val="21"/>
                    </w:rPr>
                    <w:t>对客户提出的要求，不能详尽掌握，可能导致不满足合同要求，进而导致经济损失，从而会丢失一批客户</w:t>
                  </w:r>
                </w:p>
              </w:tc>
              <w:tc>
                <w:tcPr>
                  <w:tcW w:w="3965" w:type="dxa"/>
                  <w:shd w:val="clear" w:color="auto" w:fill="auto"/>
                  <w:vAlign w:val="top"/>
                </w:tcPr>
                <w:p>
                  <w:pPr>
                    <w:numPr>
                      <w:ilvl w:val="0"/>
                      <w:numId w:val="3"/>
                    </w:numPr>
                    <w:spacing w:line="320" w:lineRule="exact"/>
                    <w:ind w:leftChars="0"/>
                    <w:rPr>
                      <w:rFonts w:ascii="宋体" w:hAnsi="宋体"/>
                      <w:szCs w:val="21"/>
                    </w:rPr>
                  </w:pPr>
                  <w:r>
                    <w:rPr>
                      <w:rFonts w:hint="eastAsia" w:ascii="宋体" w:hAnsi="宋体"/>
                      <w:szCs w:val="21"/>
                    </w:rPr>
                    <w:t>对老客户和新客户及时跟踪、反馈;</w:t>
                  </w:r>
                </w:p>
                <w:p>
                  <w:pPr>
                    <w:spacing w:line="320" w:lineRule="exact"/>
                    <w:rPr>
                      <w:rFonts w:hint="default" w:cs="Times New Roman" w:asciiTheme="minorEastAsia" w:hAnsiTheme="minorEastAsia" w:eastAsiaTheme="minorEastAsia"/>
                      <w:kern w:val="2"/>
                      <w:sz w:val="21"/>
                      <w:szCs w:val="21"/>
                      <w:lang w:val="en-US" w:eastAsia="zh-CN" w:bidi="ar-SA"/>
                    </w:rPr>
                  </w:pPr>
                  <w:r>
                    <w:rPr>
                      <w:rFonts w:ascii="宋体" w:hAnsi="宋体"/>
                      <w:szCs w:val="21"/>
                    </w:rPr>
                    <w:t>2</w:t>
                  </w:r>
                  <w:r>
                    <w:rPr>
                      <w:rFonts w:hint="eastAsia" w:ascii="宋体" w:hAnsi="宋体"/>
                      <w:szCs w:val="21"/>
                    </w:rPr>
                    <w:t>参加合同评审，确认每条款合理性，降低合同风险；</w:t>
                  </w:r>
                </w:p>
              </w:tc>
              <w:tc>
                <w:tcPr>
                  <w:tcW w:w="1717" w:type="dxa"/>
                  <w:shd w:val="clear" w:color="auto" w:fill="auto"/>
                  <w:vAlign w:val="top"/>
                </w:tcPr>
                <w:p>
                  <w:pPr>
                    <w:keepNext w:val="0"/>
                    <w:keepLines w:val="0"/>
                    <w:suppressLineNumbers w:val="0"/>
                    <w:shd w:val="clear"/>
                    <w:spacing w:before="0" w:beforeAutospacing="0" w:after="0" w:afterAutospacing="0"/>
                    <w:ind w:left="0" w:right="0"/>
                    <w:rPr>
                      <w:rFonts w:hint="eastAsia"/>
                      <w:color w:val="0000FF"/>
                      <w:vertAlign w:val="baseline"/>
                      <w:lang w:val="en-US" w:eastAsia="zh-CN"/>
                    </w:rPr>
                  </w:pPr>
                  <w:r>
                    <w:rPr>
                      <w:rFonts w:hint="eastAsia"/>
                    </w:rPr>
                    <w:sym w:font="Wingdings" w:char="00A8"/>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keepNext w:val="0"/>
                    <w:keepLines w:val="0"/>
                    <w:suppressLineNumbers w:val="0"/>
                    <w:shd w:val="clear"/>
                    <w:spacing w:before="0" w:beforeAutospacing="0" w:after="0" w:afterAutospacing="0"/>
                    <w:ind w:left="0" w:right="0"/>
                    <w:rPr>
                      <w:rFonts w:hint="default"/>
                      <w:color w:val="0000FF"/>
                      <w:vertAlign w:val="baseline"/>
                      <w:lang w:val="en-US" w:eastAsia="zh-CN"/>
                    </w:rPr>
                  </w:pPr>
                </w:p>
              </w:tc>
              <w:tc>
                <w:tcPr>
                  <w:tcW w:w="3965" w:type="dxa"/>
                  <w:shd w:val="clear" w:color="auto" w:fill="auto"/>
                  <w:vAlign w:val="center"/>
                </w:tcPr>
                <w:p>
                  <w:pPr>
                    <w:keepNext w:val="0"/>
                    <w:keepLines w:val="0"/>
                    <w:suppressLineNumbers w:val="0"/>
                    <w:shd w:val="clear"/>
                    <w:spacing w:before="0" w:beforeAutospacing="0" w:after="0" w:afterAutospacing="0"/>
                    <w:ind w:left="0" w:right="0"/>
                    <w:rPr>
                      <w:rFonts w:hint="eastAsia"/>
                      <w:color w:val="0000FF"/>
                      <w:vertAlign w:val="baseline"/>
                      <w:lang w:val="en-US" w:eastAsia="zh-CN"/>
                    </w:rPr>
                  </w:pPr>
                </w:p>
              </w:tc>
              <w:tc>
                <w:tcPr>
                  <w:tcW w:w="1717"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color w:val="0000FF"/>
                      <w:kern w:val="2"/>
                      <w:sz w:val="21"/>
                      <w:szCs w:val="24"/>
                      <w:vertAlign w:val="baseline"/>
                      <w:lang w:val="en-US" w:eastAsia="zh-CN" w:bidi="ar-SA"/>
                    </w:rPr>
                  </w:pPr>
                  <w:r>
                    <w:rPr>
                      <w:rFonts w:hint="eastAsia"/>
                    </w:rPr>
                    <w:sym w:font="Wingdings" w:char="00A8"/>
                  </w:r>
                  <w:r>
                    <w:rPr>
                      <w:rFonts w:hint="eastAsia"/>
                    </w:rPr>
                    <w:t>有效</w:t>
                  </w:r>
                  <w:r>
                    <w:rPr>
                      <w:rFonts w:hint="eastAsia"/>
                    </w:rPr>
                    <w:sym w:font="Wingdings" w:char="00A8"/>
                  </w:r>
                  <w:r>
                    <w:rPr>
                      <w:rFonts w:hint="eastAsia"/>
                    </w:rPr>
                    <w:t>不足</w:t>
                  </w:r>
                </w:p>
              </w:tc>
            </w:tr>
          </w:tbl>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7"/>
              <w:gridCol w:w="1204"/>
              <w:gridCol w:w="2640"/>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widowControl/>
                    <w:shd w:val="clear"/>
                    <w:spacing w:before="40"/>
                    <w:jc w:val="left"/>
                    <w:rPr>
                      <w:color w:val="000000"/>
                      <w:sz w:val="21"/>
                      <w:szCs w:val="21"/>
                      <w:highlight w:val="none"/>
                    </w:rPr>
                  </w:pPr>
                  <w:r>
                    <w:rPr>
                      <w:rFonts w:hint="eastAsia"/>
                      <w:color w:val="000000"/>
                      <w:sz w:val="21"/>
                      <w:szCs w:val="21"/>
                      <w:highlight w:val="none"/>
                    </w:rPr>
                    <w:t>目标</w:t>
                  </w:r>
                </w:p>
              </w:tc>
              <w:tc>
                <w:tcPr>
                  <w:tcW w:w="1204" w:type="dxa"/>
                </w:tcPr>
                <w:p>
                  <w:pPr>
                    <w:widowControl/>
                    <w:shd w:val="clear"/>
                    <w:spacing w:before="40"/>
                    <w:jc w:val="left"/>
                    <w:rPr>
                      <w:color w:val="000000"/>
                      <w:sz w:val="21"/>
                      <w:szCs w:val="21"/>
                      <w:highlight w:val="none"/>
                    </w:rPr>
                  </w:pPr>
                  <w:r>
                    <w:rPr>
                      <w:rFonts w:hint="eastAsia"/>
                      <w:color w:val="000000"/>
                      <w:sz w:val="21"/>
                      <w:szCs w:val="21"/>
                      <w:highlight w:val="none"/>
                    </w:rPr>
                    <w:t>考核频次</w:t>
                  </w:r>
                </w:p>
              </w:tc>
              <w:tc>
                <w:tcPr>
                  <w:tcW w:w="2640" w:type="dxa"/>
                </w:tcPr>
                <w:p>
                  <w:pPr>
                    <w:widowControl/>
                    <w:shd w:val="clear"/>
                    <w:spacing w:before="40"/>
                    <w:jc w:val="left"/>
                    <w:rPr>
                      <w:color w:val="000000"/>
                      <w:sz w:val="21"/>
                      <w:szCs w:val="21"/>
                      <w:highlight w:val="none"/>
                    </w:rPr>
                  </w:pPr>
                  <w:r>
                    <w:rPr>
                      <w:rFonts w:hint="eastAsia"/>
                      <w:color w:val="000000"/>
                      <w:sz w:val="21"/>
                      <w:szCs w:val="21"/>
                      <w:highlight w:val="none"/>
                    </w:rPr>
                    <w:t>计算方法</w:t>
                  </w:r>
                </w:p>
              </w:tc>
              <w:tc>
                <w:tcPr>
                  <w:tcW w:w="2231" w:type="dxa"/>
                </w:tcPr>
                <w:p>
                  <w:pPr>
                    <w:widowControl/>
                    <w:shd w:val="clear"/>
                    <w:spacing w:before="40"/>
                    <w:jc w:val="left"/>
                    <w:rPr>
                      <w:color w:val="000000"/>
                      <w:sz w:val="21"/>
                      <w:szCs w:val="21"/>
                      <w:highlight w:val="none"/>
                    </w:rPr>
                  </w:pPr>
                  <w:r>
                    <w:rPr>
                      <w:rFonts w:hint="eastAsia"/>
                      <w:color w:val="000000"/>
                      <w:sz w:val="21"/>
                      <w:szCs w:val="21"/>
                      <w:highlight w:val="none"/>
                    </w:rPr>
                    <w:t>完成情况（</w:t>
                  </w:r>
                  <w:r>
                    <w:rPr>
                      <w:rFonts w:hint="eastAsia"/>
                      <w:color w:val="000000"/>
                      <w:sz w:val="21"/>
                      <w:szCs w:val="21"/>
                      <w:highlight w:val="none"/>
                      <w:lang w:val="en-US" w:eastAsia="zh-CN"/>
                    </w:rPr>
                    <w:t>2021-03~2021-05</w:t>
                  </w:r>
                  <w:r>
                    <w:rPr>
                      <w:rFonts w:hint="eastAsia"/>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447" w:type="dxa"/>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ascii="宋体" w:hAnsi="宋体"/>
                      <w:sz w:val="24"/>
                      <w:szCs w:val="24"/>
                    </w:rPr>
                    <w:t>大米</w:t>
                  </w:r>
                  <w:r>
                    <w:rPr>
                      <w:rFonts w:hint="eastAsia"/>
                      <w:color w:val="000000"/>
                      <w:szCs w:val="18"/>
                    </w:rPr>
                    <w:t>质量抽检合格率</w:t>
                  </w:r>
                  <w:r>
                    <w:rPr>
                      <w:rFonts w:hint="eastAsia"/>
                      <w:color w:val="000000"/>
                      <w:szCs w:val="21"/>
                    </w:rPr>
                    <w:t>≥98％</w:t>
                  </w:r>
                </w:p>
              </w:tc>
              <w:tc>
                <w:tcPr>
                  <w:tcW w:w="1204" w:type="dxa"/>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每</w:t>
                  </w:r>
                  <w:r>
                    <w:rPr>
                      <w:rFonts w:hint="eastAsia"/>
                      <w:color w:val="000000"/>
                      <w:szCs w:val="21"/>
                      <w:lang w:val="en-US" w:eastAsia="zh-CN"/>
                    </w:rPr>
                    <w:t>月</w:t>
                  </w:r>
                </w:p>
              </w:tc>
              <w:tc>
                <w:tcPr>
                  <w:tcW w:w="2640" w:type="dxa"/>
                  <w:vAlign w:val="top"/>
                </w:tcPr>
                <w:p>
                  <w:pPr>
                    <w:widowControl/>
                    <w:spacing w:before="40"/>
                    <w:jc w:val="left"/>
                    <w:rPr>
                      <w:rFonts w:hint="default" w:ascii="Times New Roman" w:hAnsi="Times New Roman" w:eastAsia="宋体" w:cs="Times New Roman"/>
                      <w:color w:val="000000"/>
                      <w:kern w:val="2"/>
                      <w:sz w:val="21"/>
                      <w:szCs w:val="18"/>
                      <w:lang w:val="en-US" w:eastAsia="zh-CN" w:bidi="ar-SA"/>
                    </w:rPr>
                  </w:pPr>
                  <w:r>
                    <w:rPr>
                      <w:rFonts w:hint="eastAsia"/>
                      <w:color w:val="000000"/>
                      <w:szCs w:val="18"/>
                    </w:rPr>
                    <w:t>大米质量抽检合格数/抽检总数</w:t>
                  </w:r>
                  <w:r>
                    <w:rPr>
                      <w:rFonts w:hint="eastAsia"/>
                      <w:color w:val="000000"/>
                      <w:szCs w:val="21"/>
                    </w:rPr>
                    <w:t>X</w:t>
                  </w:r>
                  <w:r>
                    <w:rPr>
                      <w:color w:val="000000"/>
                      <w:szCs w:val="21"/>
                    </w:rPr>
                    <w:t>100%</w:t>
                  </w:r>
                </w:p>
              </w:tc>
              <w:tc>
                <w:tcPr>
                  <w:tcW w:w="2231" w:type="dxa"/>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ascii="宋体" w:hAnsi="宋体"/>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47" w:type="dxa"/>
                  <w:vAlign w:val="center"/>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顾客满意率≧85%</w:t>
                  </w:r>
                </w:p>
              </w:tc>
              <w:tc>
                <w:tcPr>
                  <w:tcW w:w="1204" w:type="dxa"/>
                  <w:vAlign w:val="top"/>
                </w:tcPr>
                <w:p>
                  <w:pPr>
                    <w:widowControl/>
                    <w:spacing w:before="40"/>
                    <w:jc w:val="left"/>
                    <w:rPr>
                      <w:rFonts w:ascii="Times New Roman" w:hAnsi="Times New Roman" w:eastAsia="宋体" w:cs="Times New Roman"/>
                      <w:color w:val="000000"/>
                      <w:kern w:val="2"/>
                      <w:sz w:val="21"/>
                      <w:szCs w:val="21"/>
                      <w:lang w:val="en-US" w:eastAsia="zh-CN" w:bidi="ar-SA"/>
                    </w:rPr>
                  </w:pPr>
                  <w:r>
                    <w:rPr>
                      <w:rFonts w:hint="eastAsia"/>
                      <w:color w:val="000000"/>
                      <w:szCs w:val="21"/>
                    </w:rPr>
                    <w:t>每</w:t>
                  </w:r>
                  <w:r>
                    <w:rPr>
                      <w:rFonts w:hint="eastAsia"/>
                      <w:color w:val="000000"/>
                      <w:szCs w:val="21"/>
                      <w:lang w:val="en-US" w:eastAsia="zh-CN"/>
                    </w:rPr>
                    <w:t>月</w:t>
                  </w:r>
                </w:p>
              </w:tc>
              <w:tc>
                <w:tcPr>
                  <w:tcW w:w="2640" w:type="dxa"/>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snapToGrid w:val="0"/>
                      <w:kern w:val="0"/>
                      <w:szCs w:val="21"/>
                    </w:rPr>
                    <w:t>.顾客满意度=调查单位中满意总分数÷调查单位数×100%</w:t>
                  </w:r>
                </w:p>
              </w:tc>
              <w:tc>
                <w:tcPr>
                  <w:tcW w:w="2231" w:type="dxa"/>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ascii="宋体" w:hAnsi="宋体"/>
                      <w:sz w:val="24"/>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shd w:val="clear"/>
                    <w:spacing w:line="400" w:lineRule="exact"/>
                    <w:rPr>
                      <w:rFonts w:ascii="宋体" w:hAnsi="宋体"/>
                      <w:sz w:val="21"/>
                      <w:szCs w:val="21"/>
                      <w:highlight w:val="none"/>
                    </w:rPr>
                  </w:pPr>
                </w:p>
              </w:tc>
              <w:tc>
                <w:tcPr>
                  <w:tcW w:w="1204" w:type="dxa"/>
                </w:tcPr>
                <w:p>
                  <w:pPr>
                    <w:widowControl/>
                    <w:shd w:val="clear"/>
                    <w:spacing w:before="40"/>
                    <w:jc w:val="left"/>
                    <w:rPr>
                      <w:color w:val="000000"/>
                      <w:sz w:val="21"/>
                      <w:szCs w:val="21"/>
                      <w:highlight w:val="none"/>
                    </w:rPr>
                  </w:pPr>
                </w:p>
              </w:tc>
              <w:tc>
                <w:tcPr>
                  <w:tcW w:w="2640" w:type="dxa"/>
                </w:tcPr>
                <w:p>
                  <w:pPr>
                    <w:widowControl/>
                    <w:shd w:val="clear"/>
                    <w:spacing w:before="40"/>
                    <w:jc w:val="left"/>
                    <w:rPr>
                      <w:rFonts w:hint="default" w:eastAsia="宋体"/>
                      <w:color w:val="000000"/>
                      <w:sz w:val="21"/>
                      <w:szCs w:val="21"/>
                      <w:highlight w:val="none"/>
                      <w:lang w:val="en-US" w:eastAsia="zh-CN"/>
                    </w:rPr>
                  </w:pPr>
                </w:p>
              </w:tc>
              <w:tc>
                <w:tcPr>
                  <w:tcW w:w="2231" w:type="dxa"/>
                </w:tcPr>
                <w:p>
                  <w:pPr>
                    <w:widowControl/>
                    <w:shd w:val="clear"/>
                    <w:spacing w:before="40"/>
                    <w:jc w:val="left"/>
                    <w:rPr>
                      <w:rFonts w:hint="default" w:eastAsia="宋体"/>
                      <w:color w:val="00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widowControl/>
                    <w:shd w:val="clear"/>
                    <w:spacing w:before="40"/>
                    <w:jc w:val="left"/>
                    <w:rPr>
                      <w:color w:val="000000"/>
                      <w:sz w:val="21"/>
                      <w:szCs w:val="21"/>
                      <w:highlight w:val="none"/>
                    </w:rPr>
                  </w:pPr>
                </w:p>
              </w:tc>
              <w:tc>
                <w:tcPr>
                  <w:tcW w:w="1204" w:type="dxa"/>
                </w:tcPr>
                <w:p>
                  <w:pPr>
                    <w:widowControl/>
                    <w:shd w:val="clear"/>
                    <w:spacing w:before="40"/>
                    <w:jc w:val="left"/>
                    <w:rPr>
                      <w:color w:val="000000"/>
                      <w:sz w:val="21"/>
                      <w:szCs w:val="21"/>
                      <w:highlight w:val="none"/>
                    </w:rPr>
                  </w:pPr>
                </w:p>
              </w:tc>
              <w:tc>
                <w:tcPr>
                  <w:tcW w:w="2640" w:type="dxa"/>
                </w:tcPr>
                <w:p>
                  <w:pPr>
                    <w:widowControl/>
                    <w:shd w:val="clear"/>
                    <w:spacing w:before="40"/>
                    <w:jc w:val="left"/>
                    <w:rPr>
                      <w:rFonts w:hint="default" w:eastAsia="宋体"/>
                      <w:color w:val="000000"/>
                      <w:sz w:val="21"/>
                      <w:szCs w:val="21"/>
                      <w:highlight w:val="none"/>
                      <w:lang w:val="en-US" w:eastAsia="zh-CN"/>
                    </w:rPr>
                  </w:pPr>
                </w:p>
              </w:tc>
              <w:tc>
                <w:tcPr>
                  <w:tcW w:w="2231" w:type="dxa"/>
                </w:tcPr>
                <w:p>
                  <w:pPr>
                    <w:widowControl/>
                    <w:shd w:val="clear"/>
                    <w:spacing w:before="40"/>
                    <w:jc w:val="left"/>
                    <w:rPr>
                      <w:rFonts w:hint="eastAsia" w:eastAsia="宋体"/>
                      <w:color w:val="00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widowControl/>
                    <w:shd w:val="clear"/>
                    <w:spacing w:before="40"/>
                    <w:jc w:val="left"/>
                    <w:rPr>
                      <w:color w:val="000000"/>
                      <w:sz w:val="21"/>
                      <w:szCs w:val="21"/>
                      <w:highlight w:val="none"/>
                    </w:rPr>
                  </w:pPr>
                </w:p>
              </w:tc>
              <w:tc>
                <w:tcPr>
                  <w:tcW w:w="1204" w:type="dxa"/>
                </w:tcPr>
                <w:p>
                  <w:pPr>
                    <w:widowControl/>
                    <w:shd w:val="clear"/>
                    <w:spacing w:before="40"/>
                    <w:jc w:val="left"/>
                    <w:rPr>
                      <w:color w:val="000000"/>
                      <w:sz w:val="21"/>
                      <w:szCs w:val="21"/>
                      <w:highlight w:val="none"/>
                    </w:rPr>
                  </w:pPr>
                </w:p>
              </w:tc>
              <w:tc>
                <w:tcPr>
                  <w:tcW w:w="2640" w:type="dxa"/>
                </w:tcPr>
                <w:p>
                  <w:pPr>
                    <w:widowControl/>
                    <w:shd w:val="clear"/>
                    <w:spacing w:before="40"/>
                    <w:jc w:val="left"/>
                    <w:rPr>
                      <w:color w:val="000000"/>
                      <w:sz w:val="21"/>
                      <w:szCs w:val="21"/>
                      <w:highlight w:val="none"/>
                    </w:rPr>
                  </w:pPr>
                </w:p>
              </w:tc>
              <w:tc>
                <w:tcPr>
                  <w:tcW w:w="2231" w:type="dxa"/>
                </w:tcPr>
                <w:p>
                  <w:pPr>
                    <w:widowControl/>
                    <w:shd w:val="clear"/>
                    <w:spacing w:before="40"/>
                    <w:jc w:val="left"/>
                    <w:rPr>
                      <w:color w:val="000000"/>
                      <w:sz w:val="21"/>
                      <w:szCs w:val="21"/>
                      <w:highlight w:val="none"/>
                    </w:rPr>
                  </w:pPr>
                </w:p>
              </w:tc>
            </w:tr>
          </w:tbl>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hd w:val="clear"/>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hd w:val="clear"/>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无变更</w:t>
            </w:r>
          </w:p>
          <w:p>
            <w:pPr>
              <w:keepNext w:val="0"/>
              <w:keepLines w:val="0"/>
              <w:suppressLineNumbers w:val="0"/>
              <w:shd w:val="clear"/>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组织应确定、提供并维护所需的基础设施情况：</w:t>
            </w:r>
          </w:p>
          <w:p>
            <w:pPr>
              <w:rPr>
                <w:rFonts w:hint="default" w:eastAsia="宋体"/>
                <w:lang w:val="en-US" w:eastAsia="zh-CN"/>
              </w:rPr>
            </w:pPr>
            <w:r>
              <w:rPr>
                <w:rFonts w:hint="eastAsia"/>
              </w:rPr>
              <w:t>建筑面积</w:t>
            </w:r>
            <w:r>
              <w:rPr>
                <w:rFonts w:hint="eastAsia"/>
                <w:u w:val="single"/>
              </w:rPr>
              <w:t xml:space="preserve"> </w:t>
            </w:r>
            <w:r>
              <w:rPr>
                <w:u w:val="single"/>
              </w:rPr>
              <w:t xml:space="preserve">2000 </w:t>
            </w:r>
            <w:r>
              <w:rPr>
                <w:rFonts w:hint="eastAsia"/>
                <w:u w:val="single"/>
              </w:rPr>
              <w:t xml:space="preserve"> </w:t>
            </w:r>
            <w:r>
              <w:rPr>
                <w:rFonts w:hint="eastAsia"/>
              </w:rPr>
              <w:t>平方米；生产车间</w:t>
            </w:r>
            <w:r>
              <w:rPr>
                <w:rFonts w:hint="eastAsia"/>
                <w:u w:val="single"/>
              </w:rPr>
              <w:t xml:space="preserve">  </w:t>
            </w:r>
            <w:r>
              <w:rPr>
                <w:u w:val="single"/>
              </w:rPr>
              <w:t>1</w:t>
            </w:r>
            <w:r>
              <w:rPr>
                <w:rFonts w:hint="eastAsia"/>
                <w:u w:val="single"/>
              </w:rPr>
              <w:t xml:space="preserve"> </w:t>
            </w:r>
            <w:r>
              <w:rPr>
                <w:rFonts w:hint="eastAsia"/>
              </w:rPr>
              <w:t>个；仓库</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个；检</w:t>
            </w:r>
            <w:r>
              <w:t>测</w:t>
            </w:r>
            <w:r>
              <w:rPr>
                <w:rFonts w:hint="eastAsia"/>
              </w:rPr>
              <w:t>室</w:t>
            </w:r>
            <w:r>
              <w:rPr>
                <w:rFonts w:hint="eastAsia"/>
                <w:u w:val="single"/>
              </w:rPr>
              <w:t xml:space="preserve">  </w:t>
            </w:r>
            <w:r>
              <w:rPr>
                <w:u w:val="single"/>
              </w:rPr>
              <w:t>1</w:t>
            </w:r>
            <w:r>
              <w:rPr>
                <w:rFonts w:hint="eastAsia"/>
                <w:u w:val="single"/>
              </w:rPr>
              <w:t xml:space="preserve"> </w:t>
            </w:r>
            <w:r>
              <w:rPr>
                <w:rFonts w:hint="eastAsia"/>
              </w:rPr>
              <w:t>个；</w:t>
            </w:r>
            <w:r>
              <w:rPr>
                <w:rFonts w:hint="eastAsia"/>
                <w:lang w:val="en-US" w:eastAsia="zh-CN"/>
              </w:rPr>
              <w:t>原粮仓</w:t>
            </w:r>
            <w:r>
              <w:rPr>
                <w:rFonts w:hint="eastAsia"/>
                <w:u w:val="single"/>
                <w:lang w:val="en-US" w:eastAsia="zh-CN"/>
              </w:rPr>
              <w:t>18个；车辆：3辆</w:t>
            </w:r>
          </w:p>
          <w:p>
            <w:pPr>
              <w:shd w:val="clear"/>
              <w:ind w:left="1680" w:hanging="1680" w:hangingChars="800"/>
              <w:rPr>
                <w:u w:val="single"/>
              </w:rPr>
            </w:pPr>
            <w:r>
              <w:rPr>
                <w:rFonts w:hint="eastAsia"/>
              </w:rPr>
              <w:t>主要生产设备有：</w:t>
            </w:r>
            <w:r>
              <w:rPr>
                <w:rFonts w:hint="eastAsia"/>
                <w:u w:val="single"/>
              </w:rPr>
              <w:t xml:space="preserve">  </w:t>
            </w:r>
            <w:r>
              <w:rPr>
                <w:rFonts w:hint="eastAsia"/>
                <w:szCs w:val="21"/>
                <w:u w:val="single"/>
              </w:rPr>
              <w:t>清理筛、去石机、砻谷机、磁选</w:t>
            </w:r>
            <w:r>
              <w:rPr>
                <w:szCs w:val="21"/>
                <w:u w:val="single"/>
              </w:rPr>
              <w:t>机</w:t>
            </w:r>
            <w:r>
              <w:rPr>
                <w:rFonts w:hint="eastAsia"/>
                <w:szCs w:val="21"/>
                <w:u w:val="single"/>
              </w:rPr>
              <w:t>、碾米机、分级筛、大米抛光机、色选机、定量包装机</w:t>
            </w:r>
            <w:r>
              <w:rPr>
                <w:rFonts w:hint="eastAsia"/>
                <w:u w:val="single"/>
              </w:rPr>
              <w:t xml:space="preserve">     </w:t>
            </w:r>
            <w:r>
              <w:rPr>
                <w:u w:val="single"/>
              </w:rPr>
              <w:t xml:space="preserve"> </w:t>
            </w:r>
            <w:r>
              <w:rPr>
                <w:rFonts w:hint="eastAsia"/>
                <w:u w:val="single"/>
              </w:rPr>
              <w:t>（列举2~4种）</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压力容器（简单压力容器）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pStyle w:val="2"/>
              <w:keepNext w:val="0"/>
              <w:keepLines w:val="0"/>
              <w:pageBreakBefore w:val="0"/>
              <w:widowControl w:val="0"/>
              <w:tabs>
                <w:tab w:val="clear" w:pos="1560"/>
                <w:tab w:val="clear" w:pos="1985"/>
              </w:tabs>
              <w:kinsoku/>
              <w:wordWrap/>
              <w:overflowPunct/>
              <w:topLinePunct w:val="0"/>
              <w:autoSpaceDE/>
              <w:autoSpaceDN/>
              <w:bidi w:val="0"/>
              <w:adjustRightInd/>
              <w:snapToGrid/>
              <w:spacing w:after="0" w:line="360" w:lineRule="auto"/>
              <w:ind w:left="0" w:leftChars="0" w:right="105" w:rightChars="50" w:firstLine="0" w:firstLineChars="0"/>
              <w:jc w:val="left"/>
              <w:textAlignment w:val="auto"/>
              <w:rPr>
                <w:rFonts w:hint="default"/>
                <w:color w:val="FF0000"/>
                <w:highlight w:val="yellow"/>
                <w:u w:val="single"/>
                <w:vertAlign w:val="baseline"/>
                <w:lang w:val="en-US" w:eastAsia="zh-CN"/>
              </w:rPr>
            </w:pPr>
            <w:r>
              <w:rPr>
                <w:rFonts w:hint="eastAsia"/>
                <w:highlight w:val="none"/>
                <w:u w:val="none"/>
                <w:vertAlign w:val="baseline"/>
                <w:lang w:val="en-US" w:eastAsia="zh-CN"/>
              </w:rPr>
              <w:t>特种设备管理：</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进行了定期检验  </w:t>
            </w:r>
            <w:r>
              <w:rPr>
                <w:rFonts w:hint="eastAsia"/>
                <w:highlight w:val="none"/>
                <w:vertAlign w:val="baseline"/>
                <w:lang w:val="en-US" w:eastAsia="zh-CN"/>
              </w:rPr>
              <w:sym w:font="Wingdings" w:char="00FE"/>
            </w:r>
            <w:r>
              <w:rPr>
                <w:rFonts w:hint="eastAsia"/>
                <w:highlight w:val="none"/>
                <w:vertAlign w:val="baseline"/>
                <w:lang w:val="en-US" w:eastAsia="zh-CN"/>
              </w:rPr>
              <w:t>未进行</w:t>
            </w:r>
            <w:r>
              <w:rPr>
                <w:rFonts w:hint="eastAsia"/>
                <w:highlight w:val="none"/>
                <w:u w:val="none"/>
                <w:vertAlign w:val="baseline"/>
                <w:lang w:val="en-US" w:eastAsia="zh-CN"/>
              </w:rPr>
              <w:t xml:space="preserve">定期检验的有： </w:t>
            </w:r>
            <w:r>
              <w:rPr>
                <w:rFonts w:hint="eastAsia"/>
                <w:highlight w:val="none"/>
                <w:u w:val="single"/>
                <w:vertAlign w:val="baseline"/>
                <w:lang w:val="en-US" w:eastAsia="zh-CN"/>
              </w:rPr>
              <w:t xml:space="preserve"> </w:t>
            </w:r>
            <w:r>
              <w:rPr>
                <w:rFonts w:hint="eastAsia"/>
                <w:color w:val="FF0000"/>
                <w:highlight w:val="none"/>
                <w:u w:val="single"/>
                <w:vertAlign w:val="baseline"/>
                <w:lang w:val="en-US" w:eastAsia="zh-CN"/>
              </w:rPr>
              <w:t>见不符合报告01：</w:t>
            </w:r>
            <w:r>
              <w:rPr>
                <w:rFonts w:hint="eastAsia" w:ascii="黑体" w:hAnsi="黑体" w:eastAsia="黑体" w:cs="黑体"/>
                <w:b/>
                <w:bCs w:val="0"/>
                <w:color w:val="FF0000"/>
                <w:u w:val="none"/>
                <w:lang w:val="en-US" w:eastAsia="zh-CN"/>
              </w:rPr>
              <w:t>抽查设备管理情况发现：简单压力容器：</w:t>
            </w:r>
            <w:r>
              <w:rPr>
                <w:rFonts w:hint="eastAsia" w:ascii="黑体" w:hAnsi="黑体" w:eastAsia="黑体" w:cs="黑体"/>
                <w:b/>
                <w:bCs w:val="0"/>
                <w:color w:val="FF0000"/>
                <w:highlight w:val="none"/>
                <w:u w:val="none"/>
                <w:lang w:val="en-US" w:eastAsia="zh-CN"/>
              </w:rPr>
              <w:t>储气罐（产品编号：LX110703A1）、螺杆机气桶（产品编号：110063）已超过使用年限，但未按照《压力容器定期检验规则》的要求进行检定，也未提供安全法、压力表校验证据；简单压力容器：储气罐（产品编号19050-2021），未提供安全法、压力表的校验证据；</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numPr>
                <w:ilvl w:val="0"/>
                <w:numId w:val="0"/>
              </w:numPr>
              <w:shd w:val="clear"/>
              <w:snapToGrid w:val="0"/>
              <w:spacing w:line="360" w:lineRule="auto"/>
              <w:rPr>
                <w:rFonts w:hint="default"/>
                <w:u w:val="single"/>
                <w:vertAlign w:val="baseline"/>
                <w:lang w:val="en-US" w:eastAsia="zh-CN"/>
              </w:rPr>
            </w:pPr>
            <w:r>
              <w:rPr>
                <w:rFonts w:hint="eastAsia"/>
                <w:lang w:eastAsia="zh-CN"/>
              </w:rPr>
              <w:sym w:font="Wingdings 2" w:char="00A3"/>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 xml:space="preserve">基础设施可基本满足质量管理体系运行，但是还有不足需要补充： </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FE"/>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国家强检的计量器具有：</w:t>
            </w:r>
            <w:r>
              <w:rPr>
                <w:rFonts w:hint="eastAsia"/>
                <w:color w:val="000000" w:themeColor="text1"/>
                <w:u w:val="single"/>
                <w:vertAlign w:val="baseline"/>
                <w:lang w:val="en-US" w:eastAsia="zh-CN"/>
              </w:rPr>
              <w:t>电子称、温度计、电子天平、干燥箱               （列举1~4种）</w:t>
            </w:r>
          </w:p>
          <w:p>
            <w:pPr>
              <w:keepNext w:val="0"/>
              <w:keepLines w:val="0"/>
              <w:widowControl w:val="0"/>
              <w:numPr>
                <w:ilvl w:val="0"/>
                <w:numId w:val="0"/>
              </w:numPr>
              <w:suppressLineNumbers w:val="0"/>
              <w:shd w:val="clear"/>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FE"/>
            </w:r>
            <w:r>
              <w:rPr>
                <w:rFonts w:hint="eastAsia"/>
                <w:vertAlign w:val="baseline"/>
                <w:lang w:val="en-US" w:eastAsia="zh-CN"/>
              </w:rPr>
              <w:t>未进行</w:t>
            </w:r>
            <w:r>
              <w:rPr>
                <w:rFonts w:hint="eastAsia"/>
                <w:u w:val="none"/>
                <w:vertAlign w:val="baseline"/>
                <w:lang w:val="en-US" w:eastAsia="zh-CN"/>
              </w:rPr>
              <w:t>定期校准/检定的有：</w:t>
            </w:r>
            <w:r>
              <w:rPr>
                <w:rFonts w:hint="eastAsia"/>
                <w:u w:val="single"/>
                <w:vertAlign w:val="baseline"/>
                <w:lang w:val="en-US" w:eastAsia="zh-CN"/>
              </w:rPr>
              <w:t xml:space="preserve"> </w:t>
            </w:r>
            <w:r>
              <w:rPr>
                <w:rFonts w:hint="eastAsia"/>
                <w:color w:val="FF0000"/>
                <w:highlight w:val="none"/>
                <w:u w:val="single"/>
                <w:vertAlign w:val="baseline"/>
                <w:lang w:val="en-US" w:eastAsia="zh-CN"/>
              </w:rPr>
              <w:t xml:space="preserve"> 抽型号为TCS-150电子秤未提供校检证据。 见不符合报告02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A8"/>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生产/服务经验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A8"/>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A8"/>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FE"/>
            </w:r>
            <w:r>
              <w:rPr>
                <w:rFonts w:hint="eastAsia"/>
                <w:vertAlign w:val="baseline"/>
                <w:lang w:val="en-US" w:eastAsia="zh-CN"/>
              </w:rPr>
              <w:t>其他——招投标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hd w:val="clear"/>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hd w:val="clear"/>
              <w:spacing w:before="0" w:beforeAutospacing="0" w:after="0" w:afterAutospacing="0"/>
              <w:ind w:left="0" w:right="0"/>
              <w:rPr>
                <w:rFonts w:hint="default" w:eastAsia="宋体"/>
                <w:vertAlign w:val="baseline"/>
                <w:lang w:val="en-US" w:eastAsia="zh-CN"/>
              </w:rPr>
            </w:pPr>
            <w:r>
              <w:rPr>
                <w:rFonts w:hint="eastAsia"/>
                <w:lang w:eastAsia="zh-CN"/>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rPr>
              <w:t>审核期间内设计和开发新产品/项目名称：</w:t>
            </w:r>
            <w:r>
              <w:rPr>
                <w:rFonts w:hint="eastAsia"/>
                <w:color w:val="000000" w:themeColor="text1"/>
                <w:highlight w:val="none"/>
                <w:u w:val="single"/>
                <w:vertAlign w:val="baseline"/>
                <w:lang w:val="en-US" w:eastAsia="zh-CN"/>
              </w:rPr>
              <w:t xml:space="preserve">          不适用                </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产品储存</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流程图（见第三条款），</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552"/>
              <w:gridCol w:w="5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产品/服务名称</w:t>
                  </w:r>
                </w:p>
              </w:tc>
              <w:tc>
                <w:tcPr>
                  <w:tcW w:w="1552"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关键过程</w:t>
                  </w:r>
                </w:p>
              </w:tc>
              <w:tc>
                <w:tcPr>
                  <w:tcW w:w="5130"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highlight w:val="none"/>
                      <w:vertAlign w:val="baseline"/>
                      <w:lang w:val="en-US" w:eastAsia="zh-CN" w:bidi="ar-SA"/>
                    </w:rPr>
                  </w:pPr>
                  <w:r>
                    <w:rPr>
                      <w:rFonts w:hint="eastAsia" w:ascii="Times New Roman" w:hAnsi="Times New Roman" w:eastAsia="宋体" w:cs="Times New Roman"/>
                      <w:kern w:val="2"/>
                      <w:sz w:val="21"/>
                      <w:szCs w:val="24"/>
                      <w:highlight w:val="none"/>
                      <w:vertAlign w:val="baseline"/>
                      <w:lang w:val="en-US" w:eastAsia="zh-CN" w:bidi="ar-SA"/>
                    </w:rPr>
                    <w:t>大米</w:t>
                  </w:r>
                </w:p>
              </w:tc>
              <w:tc>
                <w:tcPr>
                  <w:tcW w:w="155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原粮验收</w:t>
                  </w:r>
                </w:p>
              </w:tc>
              <w:tc>
                <w:tcPr>
                  <w:tcW w:w="513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highlight w:val="none"/>
                      <w:lang w:val="en-US" w:eastAsia="zh-CN"/>
                    </w:rPr>
                  </w:pPr>
                  <w:r>
                    <w:rPr>
                      <w:rFonts w:hint="eastAsia"/>
                      <w:highlight w:val="none"/>
                      <w:lang w:val="en-US" w:eastAsia="zh-CN"/>
                    </w:rPr>
                    <w:t>农残重金属的控制；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p>
              </w:tc>
              <w:tc>
                <w:tcPr>
                  <w:tcW w:w="1552"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去石</w:t>
                  </w:r>
                </w:p>
              </w:tc>
              <w:tc>
                <w:tcPr>
                  <w:tcW w:w="513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含量粒＜300粒/kg，去石板倾斜角度、风流量的控制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p>
              </w:tc>
              <w:tc>
                <w:tcPr>
                  <w:tcW w:w="1552"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lang w:val="en-US" w:eastAsia="zh-CN"/>
                    </w:rPr>
                  </w:pPr>
                  <w:r>
                    <w:rPr>
                      <w:rFonts w:hint="eastAsia" w:cs="Times New Roman"/>
                      <w:color w:val="000000" w:themeColor="text1"/>
                      <w:kern w:val="2"/>
                      <w:sz w:val="21"/>
                      <w:szCs w:val="24"/>
                      <w:highlight w:val="none"/>
                      <w:vertAlign w:val="baseline"/>
                      <w:lang w:val="en-US" w:eastAsia="zh-CN" w:bidi="ar-SA"/>
                    </w:rPr>
                    <w:t>磁选</w:t>
                  </w:r>
                </w:p>
              </w:tc>
              <w:tc>
                <w:tcPr>
                  <w:tcW w:w="513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磁选设备磁性效果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highlight w:val="none"/>
                      <w:vertAlign w:val="baseline"/>
                      <w:lang w:val="en-US" w:eastAsia="zh-CN"/>
                    </w:rPr>
                  </w:pPr>
                </w:p>
              </w:tc>
              <w:tc>
                <w:tcPr>
                  <w:tcW w:w="1552" w:type="dxa"/>
                </w:tcPr>
                <w:p>
                  <w:pPr>
                    <w:keepNext w:val="0"/>
                    <w:keepLines w:val="0"/>
                    <w:widowControl w:val="0"/>
                    <w:numPr>
                      <w:ilvl w:val="0"/>
                      <w:numId w:val="0"/>
                    </w:numPr>
                    <w:suppressLineNumbers w:val="0"/>
                    <w:shd w:val="clear"/>
                    <w:spacing w:before="0" w:beforeAutospacing="0" w:after="0" w:afterAutospacing="0"/>
                    <w:ind w:left="0" w:right="0"/>
                    <w:jc w:val="left"/>
                    <w:rPr>
                      <w:rFonts w:hint="eastAsia"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色选</w:t>
                  </w:r>
                </w:p>
              </w:tc>
              <w:tc>
                <w:tcPr>
                  <w:tcW w:w="5130" w:type="dxa"/>
                  <w:vAlign w:val="top"/>
                </w:tcPr>
                <w:p>
                  <w:pPr>
                    <w:keepNext w:val="0"/>
                    <w:keepLines w:val="0"/>
                    <w:widowControl w:val="0"/>
                    <w:numPr>
                      <w:ilvl w:val="0"/>
                      <w:numId w:val="0"/>
                    </w:numPr>
                    <w:suppressLineNumbers w:val="0"/>
                    <w:shd w:val="clear"/>
                    <w:spacing w:before="0" w:beforeAutospacing="0" w:after="0" w:afterAutospacing="0"/>
                    <w:ind w:left="0" w:leftChars="0" w:right="0" w:rightChars="0" w:firstLine="0" w:firstLineChars="0"/>
                    <w:jc w:val="left"/>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异色粒含量＜1%，色选机灵敏度</w:t>
                  </w:r>
                </w:p>
              </w:tc>
            </w:tr>
          </w:tbl>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u w:val="none"/>
                <w:vertAlign w:val="baseline"/>
                <w:lang w:val="en-US" w:eastAsia="zh-CN"/>
              </w:rPr>
            </w:pPr>
            <w:r>
              <w:rPr>
                <w:rFonts w:hint="eastAsia"/>
                <w:vertAlign w:val="baseline"/>
                <w:lang w:val="en-US" w:eastAsia="zh-CN"/>
              </w:rPr>
              <w:t>需要确认的过程：</w:t>
            </w:r>
            <w:r>
              <w:rPr>
                <w:rFonts w:hint="eastAsia"/>
                <w:highlight w:val="none"/>
                <w:u w:val="single"/>
                <w:vertAlign w:val="baseline"/>
                <w:lang w:val="en-US" w:eastAsia="zh-CN"/>
              </w:rPr>
              <w:t xml:space="preserve">  磁选、色选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hd w:val="clear"/>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A8"/>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A8"/>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A8"/>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hd w:val="clear"/>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赔偿 </w:t>
            </w:r>
            <w:r>
              <w:rPr>
                <w:rFonts w:hint="eastAsia"/>
                <w:highlight w:val="none"/>
                <w:vertAlign w:val="baseline"/>
                <w:lang w:val="en-US" w:eastAsia="zh-CN"/>
              </w:rPr>
              <w:sym w:font="Wingdings" w:char="00A8"/>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FE"/>
            </w:r>
            <w:r>
              <w:rPr>
                <w:rFonts w:hint="eastAsia"/>
                <w:highlight w:val="none"/>
                <w:vertAlign w:val="baseline"/>
                <w:lang w:val="en-US" w:eastAsia="zh-CN"/>
              </w:rPr>
              <w:t>其他——退换货、补偿</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未变更</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hd w:val="clear"/>
              <w:spacing w:before="0" w:beforeAutospacing="0" w:after="0" w:afterAutospacing="0"/>
              <w:ind w:left="0" w:right="0"/>
              <w:jc w:val="both"/>
              <w:rPr>
                <w:rFonts w:hint="eastAsia"/>
                <w:color w:val="000000" w:themeColor="text1"/>
                <w:highlight w:val="none"/>
                <w:vertAlign w:val="baseline"/>
                <w:lang w:val="en-US" w:eastAsia="zh-CN"/>
              </w:rPr>
            </w:pPr>
            <w:r>
              <w:rPr>
                <w:rFonts w:hint="eastAsia"/>
                <w:color w:val="000000" w:themeColor="text1"/>
                <w:highlight w:val="none"/>
                <w:vertAlign w:val="baseline"/>
                <w:lang w:val="en-US" w:eastAsia="zh-CN"/>
              </w:rPr>
              <w:t>《型式检验报告》，</w:t>
            </w:r>
          </w:p>
          <w:p>
            <w:pPr>
              <w:keepNext w:val="0"/>
              <w:keepLines w:val="0"/>
              <w:widowControl w:val="0"/>
              <w:numPr>
                <w:ilvl w:val="0"/>
                <w:numId w:val="0"/>
              </w:numPr>
              <w:suppressLineNumbers w:val="0"/>
              <w:shd w:val="clear"/>
              <w:spacing w:before="0" w:beforeAutospacing="0" w:after="0" w:afterAutospacing="0"/>
              <w:ind w:left="0" w:right="0"/>
              <w:jc w:val="both"/>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如：</w:t>
            </w:r>
            <w:r>
              <w:rPr>
                <w:rFonts w:hint="eastAsia"/>
                <w:color w:val="000000" w:themeColor="text1"/>
                <w:highlight w:val="none"/>
                <w:u w:val="single"/>
                <w:vertAlign w:val="baseline"/>
                <w:lang w:val="en-US" w:eastAsia="zh-CN"/>
              </w:rPr>
              <w:t>籼米</w:t>
            </w:r>
            <w:r>
              <w:rPr>
                <w:rFonts w:hint="eastAsia"/>
                <w:color w:val="auto"/>
                <w:highlight w:val="none"/>
                <w:u w:val="single"/>
              </w:rPr>
              <w:t>报告编号：</w:t>
            </w:r>
            <w:r>
              <w:rPr>
                <w:rFonts w:hint="eastAsia"/>
              </w:rPr>
              <w:t xml:space="preserve">W20SP2506 </w:t>
            </w:r>
            <w:r>
              <w:rPr>
                <w:rFonts w:hint="eastAsia"/>
                <w:color w:val="auto"/>
                <w:highlight w:val="none"/>
                <w:u w:val="single"/>
                <w:lang w:val="en-US" w:eastAsia="zh-CN"/>
              </w:rPr>
              <w:t xml:space="preserve"> </w:t>
            </w:r>
            <w:r>
              <w:rPr>
                <w:rFonts w:hint="eastAsia"/>
                <w:color w:val="auto"/>
                <w:highlight w:val="none"/>
                <w:u w:val="single"/>
              </w:rPr>
              <w:t>报告日期：</w:t>
            </w:r>
            <w:r>
              <w:rPr>
                <w:rFonts w:hint="eastAsia"/>
                <w:u w:val="single"/>
                <w:lang w:val="en-US" w:eastAsia="zh-CN"/>
              </w:rPr>
              <w:t>2020-11-05</w:t>
            </w:r>
            <w:r>
              <w:rPr>
                <w:rFonts w:hint="eastAsia"/>
                <w:color w:val="000000" w:themeColor="text1"/>
                <w:highlight w:val="none"/>
                <w:u w:val="single"/>
                <w:vertAlign w:val="baseline"/>
                <w:lang w:val="en-US" w:eastAsia="zh-CN"/>
              </w:rPr>
              <w:t xml:space="preserve">            </w:t>
            </w:r>
          </w:p>
          <w:p>
            <w:pPr>
              <w:keepNext w:val="0"/>
              <w:keepLines w:val="0"/>
              <w:widowControl w:val="0"/>
              <w:numPr>
                <w:ilvl w:val="0"/>
                <w:numId w:val="0"/>
              </w:numPr>
              <w:suppressLineNumbers w:val="0"/>
              <w:shd w:val="clear"/>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产品检验/服务放行：</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color w:val="FF0000"/>
                <w:highlight w:val="none"/>
                <w:u w:val="single"/>
                <w:vertAlign w:val="baseline"/>
                <w:lang w:val="en-US" w:eastAsia="zh-CN"/>
              </w:rPr>
              <w:t>未按照OPRP1 规定的要求，提供对稻谷的农药残留（显著危害）进行监控的证明。见不符合报告03</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FE"/>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hd w:val="clear"/>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t>组织已</w:t>
            </w:r>
            <w:r>
              <w:rPr>
                <w:rFonts w:hint="eastAsia"/>
                <w:highlight w:val="none"/>
                <w:vertAlign w:val="baseline"/>
              </w:rPr>
              <w:fldChar w:fldCharType="begin"/>
            </w:r>
            <w:r>
              <w:rPr>
                <w:rFonts w:hint="eastAsia"/>
                <w:highlight w:val="none"/>
                <w:vertAlign w:val="baseline"/>
              </w:rPr>
              <w:fldChar w:fldCharType="end"/>
            </w:r>
            <w:r>
              <w:rPr>
                <w:rFonts w:hint="eastAsia"/>
                <w:highlight w:val="none"/>
                <w:vertAlign w:val="baseline"/>
                <w:lang w:eastAsia="zh-CN"/>
              </w:rPr>
              <w:t>通过年度</w:t>
            </w:r>
            <w:r>
              <w:rPr>
                <w:rFonts w:hint="eastAsia"/>
                <w:highlight w:val="none"/>
                <w:vertAlign w:val="baseline"/>
                <w:lang w:val="en-US" w:eastAsia="zh-CN"/>
              </w:rPr>
              <w:t>策</w:t>
            </w:r>
            <w:r>
              <w:rPr>
                <w:rFonts w:hint="eastAsia"/>
                <w:highlight w:val="none"/>
                <w:vertAlign w:val="baseline"/>
                <w:lang w:eastAsia="zh-CN"/>
              </w:rPr>
              <w:t>划</w:t>
            </w:r>
            <w:r>
              <w:rPr>
                <w:rFonts w:hint="eastAsia"/>
                <w:highlight w:val="none"/>
                <w:vertAlign w:val="baseline"/>
                <w:lang w:val="en-US" w:eastAsia="zh-CN"/>
              </w:rPr>
              <w:t>于</w:t>
            </w:r>
            <w:r>
              <w:rPr>
                <w:rFonts w:hint="eastAsia"/>
                <w:highlight w:val="none"/>
                <w:u w:val="single"/>
                <w:vertAlign w:val="baseline"/>
                <w:lang w:val="en-US" w:eastAsia="zh-CN"/>
              </w:rPr>
              <w:t>2021</w:t>
            </w:r>
            <w:r>
              <w:rPr>
                <w:rFonts w:hint="eastAsia"/>
                <w:highlight w:val="none"/>
                <w:vertAlign w:val="baseline"/>
                <w:lang w:val="en-US" w:eastAsia="zh-CN"/>
              </w:rPr>
              <w:t>年</w:t>
            </w:r>
            <w:r>
              <w:rPr>
                <w:rFonts w:hint="eastAsia"/>
                <w:highlight w:val="none"/>
                <w:u w:val="single"/>
                <w:vertAlign w:val="baseline"/>
                <w:lang w:val="en-US" w:eastAsia="zh-CN"/>
              </w:rPr>
              <w:t xml:space="preserve"> 6 </w:t>
            </w:r>
            <w:r>
              <w:rPr>
                <w:rFonts w:hint="eastAsia"/>
                <w:highlight w:val="none"/>
                <w:vertAlign w:val="baseline"/>
                <w:lang w:val="en-US" w:eastAsia="zh-CN"/>
              </w:rPr>
              <w:t>月</w:t>
            </w:r>
            <w:r>
              <w:rPr>
                <w:rFonts w:hint="eastAsia"/>
                <w:highlight w:val="none"/>
                <w:u w:val="single"/>
                <w:vertAlign w:val="baseline"/>
                <w:lang w:val="en-US" w:eastAsia="zh-CN"/>
              </w:rPr>
              <w:t xml:space="preserve"> 20 </w:t>
            </w:r>
            <w:r>
              <w:rPr>
                <w:rFonts w:hint="eastAsia"/>
                <w:highlight w:val="none"/>
                <w:vertAlign w:val="baseline"/>
                <w:lang w:val="en-US" w:eastAsia="zh-CN"/>
              </w:rPr>
              <w:t>日实施了质量管理</w:t>
            </w:r>
            <w:r>
              <w:rPr>
                <w:rFonts w:hint="eastAsia"/>
                <w:highlight w:val="none"/>
                <w:vertAlign w:val="baseline"/>
                <w:lang w:eastAsia="zh-CN"/>
              </w:rPr>
              <w:t>体系</w:t>
            </w:r>
            <w:r>
              <w:rPr>
                <w:rFonts w:hint="eastAsia"/>
                <w:highlight w:val="none"/>
                <w:vertAlign w:val="baseline"/>
                <w:lang w:val="en-US" w:eastAsia="zh-CN"/>
              </w:rPr>
              <w:t>内部</w:t>
            </w:r>
            <w:r>
              <w:rPr>
                <w:rFonts w:hint="eastAsia"/>
                <w:highlight w:val="none"/>
                <w:vertAlign w:val="baseline"/>
                <w:lang w:eastAsia="zh-CN"/>
              </w:rPr>
              <w:t>审核，对</w:t>
            </w:r>
            <w:r>
              <w:rPr>
                <w:rFonts w:hint="eastAsia"/>
                <w:highlight w:val="none"/>
                <w:vertAlign w:val="baseline"/>
                <w:lang w:val="en-US" w:eastAsia="zh-CN"/>
              </w:rPr>
              <w:t>质量</w:t>
            </w:r>
            <w:r>
              <w:rPr>
                <w:rFonts w:hint="eastAsia"/>
                <w:highlight w:val="none"/>
                <w:vertAlign w:val="baseline"/>
                <w:lang w:eastAsia="zh-CN"/>
              </w:rPr>
              <w:t>管理体系的</w:t>
            </w:r>
            <w:r>
              <w:rPr>
                <w:rFonts w:hint="eastAsia"/>
                <w:highlight w:val="none"/>
                <w:vertAlign w:val="baseline"/>
                <w:lang w:val="en-US" w:eastAsia="zh-CN"/>
              </w:rPr>
              <w:t>符合性</w:t>
            </w:r>
            <w:r>
              <w:rPr>
                <w:rFonts w:hint="eastAsia"/>
                <w:highlight w:val="none"/>
                <w:vertAlign w:val="baseline"/>
                <w:lang w:eastAsia="zh-CN"/>
              </w:rPr>
              <w:t>和有效性进行</w:t>
            </w:r>
            <w:r>
              <w:rPr>
                <w:rFonts w:hint="eastAsia"/>
                <w:highlight w:val="none"/>
                <w:vertAlign w:val="baseline"/>
                <w:lang w:val="en-US" w:eastAsia="zh-CN"/>
              </w:rPr>
              <w:t>了审核</w:t>
            </w:r>
            <w:r>
              <w:rPr>
                <w:rFonts w:hint="eastAsia"/>
                <w:highlight w:val="none"/>
                <w:vertAlign w:val="baseline"/>
                <w:lang w:eastAsia="zh-CN"/>
              </w:rPr>
              <w:t>。内审发现的</w:t>
            </w:r>
            <w:r>
              <w:rPr>
                <w:rFonts w:hint="eastAsia"/>
                <w:highlight w:val="none"/>
                <w:u w:val="single"/>
                <w:vertAlign w:val="baseline"/>
                <w:lang w:val="en-US" w:eastAsia="zh-CN"/>
              </w:rPr>
              <w:t xml:space="preserve"> 1 </w:t>
            </w:r>
            <w:r>
              <w:rPr>
                <w:rFonts w:hint="eastAsia"/>
                <w:highlight w:val="none"/>
                <w:vertAlign w:val="baseline"/>
                <w:lang w:val="en-US" w:eastAsia="zh-CN"/>
              </w:rPr>
              <w:t>项</w:t>
            </w:r>
            <w:r>
              <w:rPr>
                <w:rFonts w:hint="eastAsia"/>
                <w:highlight w:val="none"/>
                <w:vertAlign w:val="baseline"/>
                <w:lang w:eastAsia="zh-CN"/>
              </w:rPr>
              <w:t>不符合在本次审核前已</w:t>
            </w:r>
            <w:r>
              <w:rPr>
                <w:rFonts w:hint="eastAsia"/>
                <w:highlight w:val="none"/>
                <w:vertAlign w:val="baseline"/>
                <w:lang w:val="en-US" w:eastAsia="zh-CN"/>
              </w:rPr>
              <w:t>完成整改</w:t>
            </w:r>
            <w:r>
              <w:rPr>
                <w:rFonts w:hint="eastAsia"/>
                <w:highlight w:val="none"/>
                <w:vertAlign w:val="baseline"/>
                <w:lang w:eastAsia="zh-CN"/>
              </w:rPr>
              <w:t>。在公司内完成的这些审核是可信的。</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r>
              <w:rPr>
                <w:rFonts w:hint="eastAsia"/>
                <w:vertAlign w:val="baseline"/>
                <w:lang w:val="en-US" w:eastAsia="zh-CN"/>
              </w:rPr>
              <w:t>不适用</w:t>
            </w:r>
            <w:r>
              <w:rPr>
                <w:rFonts w:hint="eastAsia"/>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r>
              <w:rPr>
                <w:rFonts w:hint="eastAsia"/>
                <w:highlight w:val="none"/>
                <w:vertAlign w:val="baseline"/>
                <w:lang w:val="en-US" w:eastAsia="zh-CN"/>
              </w:rPr>
              <w:t>不适用</w:t>
            </w:r>
            <w:r>
              <w:rPr>
                <w:rFonts w:hint="eastAsia"/>
                <w:highlight w:val="none"/>
                <w:vertAlign w:val="baseline"/>
                <w:lang w:eastAsia="zh-CN"/>
              </w:rPr>
              <w:t>）</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2021 </w:t>
            </w:r>
            <w:r>
              <w:rPr>
                <w:rFonts w:hint="eastAsia"/>
                <w:vertAlign w:val="baseline"/>
                <w:lang w:val="en-US" w:eastAsia="zh-CN"/>
              </w:rPr>
              <w:t>年</w:t>
            </w:r>
            <w:r>
              <w:rPr>
                <w:rFonts w:hint="eastAsia"/>
                <w:u w:val="single"/>
                <w:vertAlign w:val="baseline"/>
                <w:lang w:val="en-US" w:eastAsia="zh-CN"/>
              </w:rPr>
              <w:t>6</w:t>
            </w:r>
            <w:r>
              <w:rPr>
                <w:rFonts w:hint="eastAsia"/>
                <w:vertAlign w:val="baseline"/>
                <w:lang w:val="en-US" w:eastAsia="zh-CN"/>
              </w:rPr>
              <w:t>月</w:t>
            </w:r>
            <w:r>
              <w:rPr>
                <w:rFonts w:hint="eastAsia"/>
                <w:u w:val="single"/>
                <w:vertAlign w:val="baseline"/>
                <w:lang w:val="en-US" w:eastAsia="zh-CN"/>
              </w:rPr>
              <w:t xml:space="preserve">30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hd w:val="clear"/>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hd w:val="clear"/>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A8"/>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shd w:val="clear"/>
        <w:rPr>
          <w:lang w:eastAsia="zh-CN"/>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zh-CN"/>
              </w:rPr>
            </w:pPr>
            <w:r>
              <w:rPr>
                <w:rFonts w:hint="eastAsia"/>
                <w:highlight w:val="none"/>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3</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3</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r>
              <w:rPr>
                <w:rFonts w:hint="eastAsia"/>
                <w:highlight w:val="none"/>
                <w:lang w:val="en-US" w:eastAsia="zh-CN"/>
              </w:rPr>
              <w:t>01/02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default" w:eastAsia="宋体"/>
                <w:highlight w:val="none"/>
                <w:lang w:val="en-US" w:eastAsia="zh-CN"/>
              </w:rPr>
            </w:pPr>
            <w:r>
              <w:rPr>
                <w:rFonts w:hint="eastAsia"/>
                <w:highlight w:val="none"/>
                <w:lang w:val="en-US" w:eastAsia="zh-CN"/>
              </w:rPr>
              <w:t>03</w:t>
            </w: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r>
              <w:rPr>
                <w:rFonts w:hint="eastAsia"/>
                <w:highlight w:val="none"/>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highlight w:val="none"/>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rFonts w:eastAsia="微软雅黑"/>
        </w:rPr>
      </w:pPr>
      <w:r>
        <w:rPr>
          <w:lang w:eastAsia="zh-CN"/>
        </w:rPr>
        <w:br w:type="page"/>
      </w:r>
    </w:p>
    <w:p>
      <w:pPr>
        <w:shd w:val="clear"/>
        <w:spacing w:before="40" w:after="40"/>
        <w:rPr>
          <w:rFonts w:eastAsia="微软雅黑"/>
        </w:rPr>
      </w:pPr>
    </w:p>
    <w:p>
      <w:pPr>
        <w:shd w:val="clea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0"/>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0"/>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shd w:val="clear" w:color="auto" w:fill="auto"/>
          </w:tcPr>
          <w:p>
            <w:pPr>
              <w:shd w:val="clear" w:color="auto"/>
            </w:pPr>
            <w:r>
              <w:rPr>
                <w:rFonts w:hint="eastAsia"/>
              </w:rPr>
              <w:t>审核周期</w:t>
            </w:r>
          </w:p>
        </w:tc>
        <w:tc>
          <w:tcPr>
            <w:tcW w:w="9634" w:type="dxa"/>
            <w:shd w:val="clear" w:color="auto" w:fill="auto"/>
          </w:tcPr>
          <w:p>
            <w:pPr>
              <w:shd w:val="clear" w:color="auto"/>
            </w:pPr>
            <w:r>
              <w:rPr>
                <w:rFonts w:hint="eastAsia"/>
              </w:rPr>
              <w:t xml:space="preserve"> ☑FSMS体系建立以来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shd w:val="clear" w:color="auto" w:fill="auto"/>
          </w:tcPr>
          <w:p>
            <w:pPr>
              <w:shd w:val="clear" w:color="auto"/>
            </w:pPr>
            <w:r>
              <w:rPr>
                <w:rFonts w:hint="eastAsia"/>
              </w:rPr>
              <w:t>体系要素</w:t>
            </w:r>
          </w:p>
        </w:tc>
        <w:tc>
          <w:tcPr>
            <w:tcW w:w="9634" w:type="dxa"/>
            <w:shd w:val="clear" w:color="auto" w:fill="auto"/>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680" w:type="dxa"/>
            <w:vMerge w:val="restart"/>
            <w:shd w:val="clear" w:color="auto" w:fill="auto"/>
          </w:tcPr>
          <w:p>
            <w:pPr>
              <w:shd w:val="clear" w:color="auto"/>
            </w:pPr>
            <w:r>
              <w:rPr>
                <w:rFonts w:hint="eastAsia"/>
              </w:rPr>
              <w:t>组织环境</w:t>
            </w:r>
          </w:p>
        </w:tc>
        <w:tc>
          <w:tcPr>
            <w:tcW w:w="9634" w:type="dxa"/>
            <w:shd w:val="clear" w:color="auto" w:fill="auto"/>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tcPr>
                <w:p>
                  <w:pPr>
                    <w:shd w:val="clear" w:color="auto"/>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法律法规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技术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竞争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市场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文化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社会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经济环境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政治环境□</w:t>
                  </w:r>
                  <w:r>
                    <w:rPr>
                      <w:rFonts w:hint="eastAsia" w:asciiTheme="minorEastAsia" w:hAnsiTheme="minorEastAsia" w:eastAsiaTheme="minorEastAsia"/>
                      <w:color w:val="000000"/>
                      <w:szCs w:val="21"/>
                    </w:rPr>
                    <w:t xml:space="preserve">网络安全 </w:t>
                  </w:r>
                  <w:r>
                    <w:rPr>
                      <w:rFonts w:hint="eastAsia" w:asciiTheme="minorEastAsia" w:hAnsiTheme="minorEastAsia" w:eastAsiaTheme="minorEastAsia"/>
                      <w:szCs w:val="21"/>
                    </w:rPr>
                    <w:sym w:font="Wingdings 2" w:char="0052"/>
                  </w:r>
                  <w:r>
                    <w:rPr>
                      <w:rFonts w:hint="eastAsia" w:asciiTheme="minorEastAsia" w:hAnsiTheme="minorEastAsia" w:eastAsiaTheme="minorEastAsia"/>
                      <w:color w:val="000000"/>
                      <w:szCs w:val="21"/>
                    </w:rPr>
                    <w:t xml:space="preserve">食品欺诈 </w:t>
                  </w:r>
                  <w:r>
                    <w:rPr>
                      <w:rFonts w:hint="eastAsia" w:asciiTheme="minorEastAsia" w:hAnsiTheme="minorEastAsia" w:eastAsiaTheme="minorEastAsia"/>
                      <w:szCs w:val="21"/>
                    </w:rPr>
                    <w:sym w:font="Wingdings 2" w:char="0052"/>
                  </w:r>
                  <w:r>
                    <w:rPr>
                      <w:rFonts w:hint="eastAsia" w:asciiTheme="minorEastAsia" w:hAnsiTheme="minorEastAsia" w:eastAsiaTheme="minorEastAsia"/>
                      <w:color w:val="000000"/>
                      <w:szCs w:val="21"/>
                    </w:rPr>
                    <w:t xml:space="preserve">食品防护 </w:t>
                  </w:r>
                  <w:r>
                    <w:rPr>
                      <w:rFonts w:hint="eastAsia" w:asciiTheme="minorEastAsia" w:hAnsiTheme="minorEastAsia" w:eastAsiaTheme="minorEastAsia"/>
                      <w:szCs w:val="21"/>
                    </w:rPr>
                    <w:sym w:font="Wingdings 2" w:char="0052"/>
                  </w:r>
                  <w:r>
                    <w:rPr>
                      <w:rFonts w:hint="eastAsia" w:asciiTheme="minorEastAsia" w:hAnsiTheme="minorEastAsia" w:eastAsiaTheme="minorEastAsia"/>
                      <w:color w:val="000000"/>
                      <w:szCs w:val="21"/>
                    </w:rPr>
                    <w:t xml:space="preserve">蓄意污染 </w:t>
                  </w:r>
                  <w:r>
                    <w:rPr>
                      <w:rFonts w:hint="eastAsia" w:asciiTheme="minorEastAsia" w:hAnsiTheme="minorEastAsia" w:eastAsiaTheme="minor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tcPr>
                <w:p>
                  <w:pPr>
                    <w:shd w:val="clear" w:color="auto"/>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价值观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文化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知识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绩效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工艺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hint="eastAsia" w:asciiTheme="minorEastAsia" w:hAnsiTheme="minorEastAsia" w:eastAsiaTheme="minorEastAsia"/>
                      <w:position w:val="2"/>
                      <w:szCs w:val="21"/>
                    </w:rPr>
                    <w:instrText xml:space="preserve">√</w:instrText>
                  </w:r>
                  <w:r>
                    <w:rPr>
                      <w:rFonts w:hint="eastAsia" w:asciiTheme="minorEastAsia" w:hAnsiTheme="minorEastAsia" w:eastAsiaTheme="minorEastAsia"/>
                      <w:szCs w:val="21"/>
                    </w:rPr>
                    <w:instrText xml:space="preserve">)</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设备 </w:t>
                  </w: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w:instrText>
                  </w:r>
                  <w:r>
                    <w:rPr>
                      <w:rFonts w:hint="eastAsia" w:asciiTheme="minorEastAsia" w:hAnsiTheme="minorEastAsia" w:eastAsiaTheme="minorEastAsia"/>
                      <w:szCs w:val="21"/>
                    </w:rPr>
                    <w:instrText xml:space="preserve">eq \o\ac(□,√)</w:instrText>
                  </w:r>
                  <w:r>
                    <w:rPr>
                      <w:rFonts w:asciiTheme="minorEastAsia" w:hAnsiTheme="minorEastAsia" w:eastAsiaTheme="minorEastAsia"/>
                      <w:szCs w:val="21"/>
                    </w:rPr>
                    <w:fldChar w:fldCharType="end"/>
                  </w:r>
                  <w:r>
                    <w:rPr>
                      <w:rFonts w:hint="eastAsia" w:asciiTheme="minorEastAsia" w:hAnsiTheme="minorEastAsia" w:eastAsiaTheme="minorEastAsia"/>
                      <w:szCs w:val="21"/>
                    </w:rPr>
                    <w:t xml:space="preserve">人员能力 □其他 </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680" w:type="dxa"/>
            <w:vMerge w:val="continue"/>
            <w:shd w:val="clear" w:color="auto" w:fill="auto"/>
          </w:tcPr>
          <w:p>
            <w:pPr>
              <w:shd w:val="clear" w:color="auto"/>
            </w:pPr>
          </w:p>
        </w:tc>
        <w:tc>
          <w:tcPr>
            <w:tcW w:w="9634" w:type="dxa"/>
            <w:shd w:val="clear" w:color="auto" w:fill="auto"/>
          </w:tcPr>
          <w:p>
            <w:pPr>
              <w:shd w:val="clear" w:color="auto"/>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☑主管部门</w:t>
                  </w:r>
                </w:p>
              </w:tc>
              <w:tc>
                <w:tcPr>
                  <w:tcW w:w="6912" w:type="dxa"/>
                </w:tcPr>
                <w:p>
                  <w:pPr>
                    <w:shd w:val="clear" w:color="auto"/>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☑供方</w:t>
                  </w:r>
                </w:p>
              </w:tc>
              <w:tc>
                <w:tcPr>
                  <w:tcW w:w="6912" w:type="dxa"/>
                </w:tcPr>
                <w:p>
                  <w:pPr>
                    <w:shd w:val="clear" w:color="auto"/>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☑顾客</w:t>
                  </w:r>
                </w:p>
              </w:tc>
              <w:tc>
                <w:tcPr>
                  <w:tcW w:w="6912" w:type="dxa"/>
                </w:tcPr>
                <w:p>
                  <w:pPr>
                    <w:shd w:val="clear" w:color="auto"/>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pPr>
                  <w:r>
                    <w:rPr>
                      <w:rFonts w:hint="eastAsia"/>
                      <w:lang w:eastAsia="zh-CN"/>
                    </w:rPr>
                    <w:sym w:font="Wingdings 2" w:char="0052"/>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lang w:eastAsia="zh-CN"/>
                    </w:rPr>
                    <w:t>□</w:t>
                  </w:r>
                  <w:r>
                    <w:rPr>
                      <w:rFonts w:hint="eastAsia"/>
                    </w:rPr>
                    <w:t>其他</w:t>
                  </w:r>
                </w:p>
              </w:tc>
              <w:tc>
                <w:tcPr>
                  <w:tcW w:w="6912" w:type="dxa"/>
                </w:tcPr>
                <w:p>
                  <w:pPr>
                    <w:shd w:val="clear" w:color="auto"/>
                  </w:pP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680" w:type="dxa"/>
            <w:vMerge w:val="continue"/>
            <w:shd w:val="clear" w:color="auto" w:fill="auto"/>
          </w:tcPr>
          <w:p>
            <w:pPr>
              <w:shd w:val="clear" w:color="auto"/>
            </w:pPr>
          </w:p>
        </w:tc>
        <w:tc>
          <w:tcPr>
            <w:tcW w:w="9634" w:type="dxa"/>
            <w:shd w:val="clear" w:color="auto" w:fill="auto"/>
          </w:tcPr>
          <w:p>
            <w:pPr>
              <w:shd w:val="clear" w:color="auto"/>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□特种设备管理 ☑控制措施组合确认  ☑PRP和危害控制措施的效果验证  □其他</w:t>
            </w:r>
          </w:p>
          <w:p>
            <w:pPr>
              <w:shd w:val="clear" w:color="auto"/>
              <w:spacing w:before="40" w:after="40"/>
              <w:rPr>
                <w:highlight w:val="red"/>
              </w:rPr>
            </w:pPr>
          </w:p>
          <w:p>
            <w:pPr>
              <w:shd w:val="clear" w:color="auto"/>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spacing w:before="40" w:after="40"/>
            </w:pPr>
            <w:r>
              <w:rPr>
                <w:rFonts w:hint="eastAsia"/>
                <w:lang w:eastAsia="zh-CN"/>
              </w:rPr>
              <w:t>□</w:t>
            </w:r>
            <w:r>
              <w:rPr>
                <w:rFonts w:hint="eastAsia"/>
              </w:rPr>
              <w:t xml:space="preserve">危害分析 </w:t>
            </w:r>
            <w:r>
              <w:rPr>
                <w:rFonts w:hint="eastAsia"/>
                <w:lang w:eastAsia="zh-CN"/>
              </w:rPr>
              <w:t>□</w:t>
            </w:r>
            <w:r>
              <w:rPr>
                <w:rFonts w:hint="eastAsia"/>
              </w:rPr>
              <w:t xml:space="preserve">制订危害控制计划 </w:t>
            </w:r>
            <w:r>
              <w:rPr>
                <w:rFonts w:hint="eastAsia"/>
                <w:lang w:eastAsia="zh-CN"/>
              </w:rPr>
              <w:t>□</w:t>
            </w:r>
            <w:r>
              <w:rPr>
                <w:rFonts w:hint="eastAsia"/>
              </w:rPr>
              <w:t xml:space="preserve">生产/服务过程 </w:t>
            </w:r>
            <w:r>
              <w:rPr>
                <w:rFonts w:hint="eastAsia"/>
                <w:lang w:eastAsia="zh-CN"/>
              </w:rPr>
              <w:t>□</w:t>
            </w:r>
            <w:r>
              <w:rPr>
                <w:rFonts w:hint="eastAsia"/>
              </w:rPr>
              <w:t xml:space="preserve">验证/确认 □产品运输 </w:t>
            </w:r>
            <w:r>
              <w:rPr>
                <w:rFonts w:hint="eastAsia"/>
                <w:lang w:eastAsia="zh-CN"/>
              </w:rPr>
              <w:t>□</w:t>
            </w:r>
            <w:r>
              <w:rPr>
                <w:rFonts w:hint="eastAsia"/>
              </w:rPr>
              <w:t>设备维修</w:t>
            </w:r>
          </w:p>
          <w:p>
            <w:pPr>
              <w:shd w:val="clear" w:color="auto"/>
              <w:spacing w:before="40" w:after="40"/>
              <w:rPr>
                <w:rFonts w:hint="default" w:eastAsia="宋体"/>
                <w:lang w:val="en-US" w:eastAsia="zh-CN"/>
              </w:rPr>
            </w:pPr>
            <w:r>
              <w:rPr>
                <w:rFonts w:hint="eastAsia"/>
              </w:rPr>
              <w:t xml:space="preserve">□人员培训 </w:t>
            </w:r>
            <w:r>
              <w:rPr>
                <w:rFonts w:hint="eastAsia"/>
              </w:rPr>
              <w:sym w:font="Wingdings 2" w:char="0052"/>
            </w:r>
            <w:r>
              <w:rPr>
                <w:rFonts w:hint="eastAsia"/>
              </w:rPr>
              <w:t>其他</w:t>
            </w:r>
            <w:r>
              <w:rPr>
                <w:rFonts w:hint="eastAsia"/>
                <w:lang w:eastAsia="zh-CN"/>
              </w:rPr>
              <w:t>——</w:t>
            </w:r>
            <w:r>
              <w:rPr>
                <w:rFonts w:hint="eastAsia"/>
                <w:lang w:val="en-US" w:eastAsia="zh-CN"/>
              </w:rPr>
              <w:t>无</w:t>
            </w:r>
          </w:p>
          <w:p>
            <w:pPr>
              <w:shd w:val="clear" w:color="auto"/>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restart"/>
            <w:shd w:val="clear" w:color="auto" w:fill="auto"/>
          </w:tcPr>
          <w:p>
            <w:pPr>
              <w:shd w:val="clear" w:color="auto"/>
            </w:pPr>
            <w:r>
              <w:rPr>
                <w:rFonts w:hint="eastAsia"/>
              </w:rPr>
              <w:t>领导作用</w:t>
            </w:r>
          </w:p>
        </w:tc>
        <w:tc>
          <w:tcPr>
            <w:tcW w:w="9634" w:type="dxa"/>
            <w:shd w:val="clear" w:color="auto" w:fill="auto"/>
          </w:tcPr>
          <w:p>
            <w:pPr>
              <w:shd w:val="clear" w:color="auto"/>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rPr>
                <w:rFonts w:hint="eastAsia"/>
              </w:rPr>
            </w:pPr>
            <w:r>
              <w:rPr>
                <w:rFonts w:hint="eastAsia"/>
              </w:rPr>
              <w:t>最高管理者制定了文件化的食品安全管理体系方针：</w:t>
            </w:r>
          </w:p>
          <w:p>
            <w:pPr>
              <w:spacing w:line="360" w:lineRule="auto"/>
              <w:rPr>
                <w:rFonts w:ascii="宋体" w:hAnsi="宋体"/>
                <w:szCs w:val="21"/>
                <w:u w:val="single"/>
              </w:rPr>
            </w:pPr>
            <w:r>
              <w:rPr>
                <w:rFonts w:hint="eastAsia" w:ascii="宋体" w:hAnsi="宋体"/>
                <w:szCs w:val="21"/>
                <w:u w:val="single"/>
              </w:rPr>
              <w:t xml:space="preserve">安全第一——提供优质大米加工，确保食品卫生安全； </w:t>
            </w:r>
          </w:p>
          <w:p>
            <w:pPr>
              <w:spacing w:line="360" w:lineRule="auto"/>
              <w:rPr>
                <w:rFonts w:ascii="宋体" w:hAnsi="宋体"/>
                <w:szCs w:val="21"/>
                <w:u w:val="single"/>
              </w:rPr>
            </w:pPr>
            <w:r>
              <w:rPr>
                <w:rFonts w:hint="eastAsia" w:ascii="宋体" w:hAnsi="宋体"/>
                <w:szCs w:val="21"/>
                <w:u w:val="single"/>
              </w:rPr>
              <w:t xml:space="preserve">质量至上——创建绿色文明环境，持续改进管理体系  </w:t>
            </w:r>
          </w:p>
          <w:p>
            <w:pPr>
              <w:shd w:val="clear" w:color="auto"/>
              <w:rPr>
                <w:rFonts w:hint="eastAsia"/>
              </w:rPr>
            </w:pPr>
          </w:p>
          <w:p>
            <w:pPr>
              <w:shd w:val="clear" w:color="auto"/>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最高管理者确定了组织架构及相关岗位的职责、权限，并进行了全员的沟通和理解；</w:t>
            </w:r>
          </w:p>
          <w:p>
            <w:pPr>
              <w:shd w:val="clear" w:color="auto"/>
            </w:pPr>
            <w:r>
              <w:rPr>
                <w:rFonts w:hint="eastAsia"/>
              </w:rPr>
              <w:t>FSMS的主管部门是——</w:t>
            </w:r>
            <w:r>
              <w:rPr>
                <w:rFonts w:hint="eastAsia"/>
                <w:color w:val="0000FF"/>
              </w:rPr>
              <w:t>食</w:t>
            </w:r>
            <w:r>
              <w:rPr>
                <w:color w:val="0000FF"/>
              </w:rP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rPr>
                <w:rFonts w:hint="eastAsia"/>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朱剑霞</w:t>
            </w:r>
            <w:r>
              <w:rPr>
                <w:rFonts w:hint="eastAsia"/>
                <w:u w:val="single"/>
              </w:rPr>
              <w:t xml:space="preserve">      </w:t>
            </w:r>
            <w:r>
              <w:rPr>
                <w:rFonts w:hint="eastAsia"/>
                <w:lang w:eastAsia="zh-CN"/>
              </w:rPr>
              <w:sym w:font="Wingdings 2" w:char="0052"/>
            </w:r>
            <w:r>
              <w:rPr>
                <w:rFonts w:hint="eastAsia"/>
              </w:rPr>
              <w:t>先生/</w:t>
            </w:r>
            <w:r>
              <w:rPr>
                <w:rFonts w:hint="eastAsia"/>
              </w:rPr>
              <w:sym w:font="Wingdings" w:char="00A8"/>
            </w:r>
            <w:r>
              <w:rPr>
                <w:rFonts w:hint="eastAsia"/>
              </w:rPr>
              <w:t>女士；</w:t>
            </w:r>
          </w:p>
          <w:p>
            <w:pPr>
              <w:shd w:val="clear" w:color="auto"/>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restart"/>
            <w:shd w:val="clear" w:color="auto" w:fill="auto"/>
          </w:tcPr>
          <w:p>
            <w:pPr>
              <w:shd w:val="clear" w:color="auto"/>
            </w:pPr>
            <w:r>
              <w:rPr>
                <w:rFonts w:hint="eastAsia"/>
              </w:rPr>
              <w:t>策划</w:t>
            </w:r>
          </w:p>
        </w:tc>
        <w:tc>
          <w:tcPr>
            <w:tcW w:w="9634" w:type="dxa"/>
            <w:shd w:val="clear" w:color="auto" w:fill="auto"/>
          </w:tcPr>
          <w:p>
            <w:pPr>
              <w:shd w:val="clear" w:color="auto"/>
            </w:pPr>
            <w:r>
              <w:rPr>
                <w:rFonts w:hint="eastAsia"/>
              </w:rPr>
              <w:t>在策划管理体系时，组织确定了需要应对的风险和机遇及应对这些风险和机遇的措施；</w:t>
            </w:r>
          </w:p>
          <w:tbl>
            <w:tblPr>
              <w:tblStyle w:val="10"/>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35"/>
              <w:gridCol w:w="417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tcPr>
                <w:p>
                  <w:pPr>
                    <w:shd w:val="clear"/>
                  </w:pPr>
                  <w:r>
                    <w:rPr>
                      <w:rFonts w:hint="eastAsia"/>
                    </w:rPr>
                    <w:t>主要的风险描述</w:t>
                  </w:r>
                </w:p>
              </w:tc>
              <w:tc>
                <w:tcPr>
                  <w:tcW w:w="4170" w:type="dxa"/>
                  <w:shd w:val="clear" w:color="auto" w:fill="auto"/>
                </w:tcPr>
                <w:p>
                  <w:pPr>
                    <w:shd w:val="clear"/>
                  </w:pPr>
                  <w:r>
                    <w:rPr>
                      <w:rFonts w:hint="eastAsia"/>
                    </w:rPr>
                    <w:t>应对措施</w:t>
                  </w:r>
                </w:p>
              </w:tc>
              <w:tc>
                <w:tcPr>
                  <w:tcW w:w="1717" w:type="dxa"/>
                  <w:shd w:val="clear" w:color="auto" w:fill="auto"/>
                </w:tcPr>
                <w:p>
                  <w:pPr>
                    <w:shd w:val="clea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vAlign w:val="center"/>
                </w:tcPr>
                <w:p>
                  <w:pPr>
                    <w:widowControl/>
                    <w:jc w:val="left"/>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市场竞争加剧带来的成本压力会引发风险；竞争会促进公司管理的提升</w:t>
                  </w:r>
                </w:p>
              </w:tc>
              <w:tc>
                <w:tcPr>
                  <w:tcW w:w="4170" w:type="dxa"/>
                  <w:shd w:val="clear" w:color="auto" w:fill="auto"/>
                  <w:vAlign w:val="top"/>
                </w:tcPr>
                <w:p>
                  <w:pPr>
                    <w:widowControl/>
                    <w:rPr>
                      <w:rFonts w:hint="eastAsia" w:cs="Times New Roman" w:asciiTheme="minorEastAsia" w:hAnsiTheme="minorEastAsia" w:eastAsiaTheme="minorEastAsia"/>
                      <w:kern w:val="0"/>
                      <w:sz w:val="21"/>
                      <w:szCs w:val="21"/>
                      <w:lang w:val="en-US" w:eastAsia="zh-CN" w:bidi="ar-SA"/>
                    </w:rPr>
                  </w:pPr>
                  <w:r>
                    <w:rPr>
                      <w:rFonts w:hint="eastAsia" w:asciiTheme="minorEastAsia" w:hAnsiTheme="minorEastAsia" w:eastAsiaTheme="minorEastAsia"/>
                      <w:szCs w:val="21"/>
                    </w:rPr>
                    <w:t>业务负责通过网络，行业交流会、顾客沟通等分析同行业设计的竞争情况，包括价格、质量、服务等</w:t>
                  </w:r>
                </w:p>
              </w:tc>
              <w:tc>
                <w:tcPr>
                  <w:tcW w:w="1717" w:type="dxa"/>
                  <w:shd w:val="clear" w:color="auto" w:fill="auto"/>
                </w:tcPr>
                <w:p>
                  <w:pPr>
                    <w:shd w:val="clear"/>
                  </w:pP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vAlign w:val="top"/>
                </w:tcPr>
                <w:p>
                  <w:pPr>
                    <w:spacing w:line="400" w:lineRule="exact"/>
                    <w:rPr>
                      <w:rFonts w:ascii="宋体" w:hAnsi="宋体"/>
                      <w:szCs w:val="21"/>
                    </w:rPr>
                  </w:pPr>
                  <w:r>
                    <w:rPr>
                      <w:rFonts w:hint="eastAsia" w:ascii="宋体" w:hAnsi="宋体"/>
                      <w:szCs w:val="21"/>
                    </w:rPr>
                    <w:t>对客户提出的要求，不能详尽掌握，可能导致不满足合同要求，进而导致经济损失，从而会丢失一批客户</w:t>
                  </w:r>
                </w:p>
                <w:p>
                  <w:pPr>
                    <w:widowControl/>
                    <w:rPr>
                      <w:rFonts w:cs="Times New Roman" w:asciiTheme="minorEastAsia" w:hAnsiTheme="minorEastAsia" w:eastAsiaTheme="minorEastAsia"/>
                      <w:kern w:val="0"/>
                      <w:sz w:val="21"/>
                      <w:szCs w:val="21"/>
                      <w:lang w:val="en-US" w:eastAsia="zh-CN" w:bidi="ar-SA"/>
                    </w:rPr>
                  </w:pPr>
                </w:p>
              </w:tc>
              <w:tc>
                <w:tcPr>
                  <w:tcW w:w="4170" w:type="dxa"/>
                  <w:shd w:val="clear" w:color="auto" w:fill="auto"/>
                  <w:vAlign w:val="top"/>
                </w:tcPr>
                <w:p>
                  <w:pPr>
                    <w:numPr>
                      <w:ilvl w:val="0"/>
                      <w:numId w:val="4"/>
                    </w:numPr>
                    <w:spacing w:line="320" w:lineRule="exact"/>
                    <w:ind w:leftChars="0"/>
                    <w:rPr>
                      <w:rFonts w:ascii="宋体" w:hAnsi="宋体"/>
                      <w:szCs w:val="21"/>
                    </w:rPr>
                  </w:pPr>
                  <w:r>
                    <w:rPr>
                      <w:rFonts w:hint="eastAsia" w:ascii="宋体" w:hAnsi="宋体"/>
                      <w:szCs w:val="21"/>
                    </w:rPr>
                    <w:t>对老客户和新客户及时跟踪、反馈;</w:t>
                  </w:r>
                </w:p>
                <w:p>
                  <w:pPr>
                    <w:spacing w:line="320" w:lineRule="exact"/>
                    <w:rPr>
                      <w:rFonts w:ascii="宋体" w:hAnsi="宋体"/>
                      <w:szCs w:val="21"/>
                    </w:rPr>
                  </w:pPr>
                  <w:r>
                    <w:rPr>
                      <w:rFonts w:ascii="宋体" w:hAnsi="宋体"/>
                      <w:szCs w:val="21"/>
                    </w:rPr>
                    <w:t>2</w:t>
                  </w:r>
                  <w:r>
                    <w:rPr>
                      <w:rFonts w:hint="eastAsia" w:ascii="宋体" w:hAnsi="宋体"/>
                      <w:szCs w:val="21"/>
                    </w:rPr>
                    <w:t>参加合同评审，确认每条款合理性，降低合同风险；</w:t>
                  </w:r>
                </w:p>
                <w:p>
                  <w:pPr>
                    <w:widowControl/>
                    <w:jc w:val="left"/>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 xml:space="preserve">           </w:t>
                  </w:r>
                </w:p>
              </w:tc>
              <w:tc>
                <w:tcPr>
                  <w:tcW w:w="1717" w:type="dxa"/>
                  <w:shd w:val="clear" w:color="auto" w:fill="auto"/>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35" w:type="dxa"/>
                  <w:shd w:val="clear" w:color="auto" w:fill="auto"/>
                  <w:vAlign w:val="center"/>
                </w:tcPr>
                <w:p>
                  <w:pPr>
                    <w:widowControl/>
                    <w:shd w:val="clear"/>
                    <w:jc w:val="left"/>
                    <w:textAlignment w:val="center"/>
                  </w:pPr>
                </w:p>
              </w:tc>
              <w:tc>
                <w:tcPr>
                  <w:tcW w:w="4170" w:type="dxa"/>
                  <w:shd w:val="clear" w:color="auto" w:fill="auto"/>
                  <w:vAlign w:val="center"/>
                </w:tcPr>
                <w:p>
                  <w:pPr>
                    <w:widowControl/>
                    <w:shd w:val="clear"/>
                    <w:jc w:val="left"/>
                    <w:textAlignment w:val="center"/>
                  </w:pPr>
                </w:p>
              </w:tc>
              <w:tc>
                <w:tcPr>
                  <w:tcW w:w="1717" w:type="dxa"/>
                  <w:shd w:val="clear" w:color="auto" w:fill="auto"/>
                </w:tcPr>
                <w:p>
                  <w:pPr>
                    <w:shd w:val="clear"/>
                  </w:pPr>
                </w:p>
              </w:tc>
            </w:tr>
          </w:tbl>
          <w:p>
            <w:pPr>
              <w:shd w:val="clear" w:color="auto"/>
            </w:pPr>
          </w:p>
          <w:p>
            <w:pPr>
              <w:shd w:val="clear" w:color="auto"/>
            </w:pPr>
          </w:p>
          <w:p>
            <w:pPr>
              <w:shd w:val="clear" w:color="auto"/>
            </w:pPr>
          </w:p>
          <w:p>
            <w:pPr>
              <w:shd w:val="clear" w:color="auto"/>
            </w:pPr>
          </w:p>
          <w:p>
            <w:pPr>
              <w:shd w:val="clear" w:color="auto"/>
            </w:pPr>
          </w:p>
          <w:p>
            <w:pPr>
              <w:shd w:val="clear" w:color="auto"/>
            </w:pPr>
          </w:p>
          <w:tbl>
            <w:tblPr>
              <w:tblStyle w:val="10"/>
              <w:tblpPr w:leftFromText="180" w:rightFromText="180" w:vertAnchor="text" w:horzAnchor="page" w:tblpX="167" w:tblpY="24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45"/>
              <w:gridCol w:w="376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shd w:val="clear" w:color="auto" w:fill="auto"/>
                </w:tcPr>
                <w:p>
                  <w:pPr>
                    <w:shd w:val="clear"/>
                  </w:pPr>
                  <w:r>
                    <w:rPr>
                      <w:rFonts w:hint="eastAsia"/>
                    </w:rPr>
                    <w:t>主要的机遇描述</w:t>
                  </w:r>
                </w:p>
              </w:tc>
              <w:tc>
                <w:tcPr>
                  <w:tcW w:w="3760" w:type="dxa"/>
                  <w:shd w:val="clear" w:color="auto" w:fill="auto"/>
                </w:tcPr>
                <w:p>
                  <w:pPr>
                    <w:shd w:val="clear"/>
                  </w:pPr>
                  <w:r>
                    <w:rPr>
                      <w:rFonts w:hint="eastAsia"/>
                    </w:rPr>
                    <w:t>应对措施</w:t>
                  </w:r>
                </w:p>
              </w:tc>
              <w:tc>
                <w:tcPr>
                  <w:tcW w:w="1717" w:type="dxa"/>
                  <w:shd w:val="clear" w:color="auto" w:fill="auto"/>
                </w:tcPr>
                <w:p>
                  <w:pPr>
                    <w:shd w:val="clea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shd w:val="clear" w:color="auto" w:fill="auto"/>
                  <w:vAlign w:val="top"/>
                </w:tcPr>
                <w:p>
                  <w:pPr>
                    <w:spacing w:line="400" w:lineRule="exact"/>
                    <w:rPr>
                      <w:rFonts w:ascii="宋体" w:hAnsi="宋体"/>
                      <w:szCs w:val="24"/>
                    </w:rPr>
                  </w:pPr>
                  <w:r>
                    <w:rPr>
                      <w:rFonts w:hint="eastAsia" w:ascii="宋体" w:hAnsi="宋体"/>
                      <w:szCs w:val="24"/>
                      <w:lang w:val="en-US" w:eastAsia="zh-CN"/>
                    </w:rPr>
                    <w:t>市场需求较稳定、民生必须产品</w:t>
                  </w:r>
                </w:p>
                <w:p>
                  <w:pPr>
                    <w:rPr>
                      <w:rFonts w:hint="default" w:ascii="Times New Roman" w:hAnsi="Times New Roman" w:eastAsia="宋体" w:cs="Times New Roman"/>
                      <w:kern w:val="2"/>
                      <w:sz w:val="21"/>
                      <w:szCs w:val="24"/>
                      <w:highlight w:val="yellow"/>
                      <w:lang w:val="en-US" w:eastAsia="zh-CN" w:bidi="ar-SA"/>
                    </w:rPr>
                  </w:pPr>
                </w:p>
              </w:tc>
              <w:tc>
                <w:tcPr>
                  <w:tcW w:w="3760" w:type="dxa"/>
                  <w:shd w:val="clear" w:color="auto" w:fill="auto"/>
                  <w:vAlign w:val="top"/>
                </w:tcPr>
                <w:p>
                  <w:pPr>
                    <w:numPr>
                      <w:ilvl w:val="0"/>
                      <w:numId w:val="5"/>
                    </w:numPr>
                    <w:spacing w:line="400" w:lineRule="exact"/>
                    <w:ind w:leftChars="0"/>
                    <w:rPr>
                      <w:rFonts w:ascii="宋体" w:hAnsi="宋体"/>
                      <w:szCs w:val="24"/>
                    </w:rPr>
                  </w:pPr>
                  <w:r>
                    <w:rPr>
                      <w:rFonts w:hint="eastAsia" w:ascii="宋体" w:hAnsi="宋体"/>
                      <w:szCs w:val="24"/>
                      <w:lang w:val="en-US" w:eastAsia="zh-CN"/>
                    </w:rPr>
                    <w:t>按照管理体系要求进行管理，严格控制产品质量和食品安全危害；</w:t>
                  </w:r>
                </w:p>
                <w:p>
                  <w:pPr>
                    <w:spacing w:line="400" w:lineRule="exact"/>
                    <w:rPr>
                      <w:rFonts w:hint="default" w:ascii="Times New Roman" w:hAnsi="Times New Roman" w:eastAsia="宋体" w:cs="Times New Roman"/>
                      <w:kern w:val="2"/>
                      <w:sz w:val="21"/>
                      <w:szCs w:val="24"/>
                      <w:highlight w:val="yellow"/>
                      <w:lang w:val="en-US" w:eastAsia="zh-CN" w:bidi="ar-SA"/>
                    </w:rPr>
                  </w:pPr>
                  <w:r>
                    <w:rPr>
                      <w:rFonts w:hint="eastAsia" w:ascii="宋体" w:hAnsi="宋体"/>
                      <w:szCs w:val="24"/>
                      <w:lang w:val="en-US" w:eastAsia="zh-CN"/>
                    </w:rPr>
                    <w:t>了解客户需求、增强客户满意度；</w:t>
                  </w:r>
                </w:p>
              </w:tc>
              <w:tc>
                <w:tcPr>
                  <w:tcW w:w="1717" w:type="dxa"/>
                  <w:shd w:val="clear" w:color="auto" w:fill="auto"/>
                </w:tcPr>
                <w:p>
                  <w:pPr>
                    <w:shd w:val="clear"/>
                  </w:pP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shd w:val="clear" w:color="auto" w:fill="auto"/>
                </w:tcPr>
                <w:p>
                  <w:pPr>
                    <w:shd w:val="clear"/>
                  </w:pPr>
                </w:p>
              </w:tc>
              <w:tc>
                <w:tcPr>
                  <w:tcW w:w="3760" w:type="dxa"/>
                  <w:shd w:val="clear" w:color="auto" w:fill="auto"/>
                </w:tcPr>
                <w:p>
                  <w:pPr>
                    <w:shd w:val="clear"/>
                  </w:pPr>
                </w:p>
              </w:tc>
              <w:tc>
                <w:tcPr>
                  <w:tcW w:w="1717" w:type="dxa"/>
                  <w:shd w:val="clear" w:color="auto" w:fill="auto"/>
                </w:tcPr>
                <w:p>
                  <w:p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045" w:type="dxa"/>
                  <w:shd w:val="clear" w:color="auto" w:fill="auto"/>
                </w:tcPr>
                <w:p>
                  <w:pPr>
                    <w:shd w:val="clear"/>
                  </w:pPr>
                </w:p>
              </w:tc>
              <w:tc>
                <w:tcPr>
                  <w:tcW w:w="3760" w:type="dxa"/>
                  <w:shd w:val="clear" w:color="auto" w:fill="auto"/>
                </w:tcPr>
                <w:p>
                  <w:pPr>
                    <w:shd w:val="clear"/>
                  </w:pPr>
                </w:p>
              </w:tc>
              <w:tc>
                <w:tcPr>
                  <w:tcW w:w="1717" w:type="dxa"/>
                  <w:shd w:val="clear" w:color="auto" w:fill="auto"/>
                </w:tcPr>
                <w:p>
                  <w:pPr>
                    <w:shd w:val="clear"/>
                  </w:pPr>
                </w:p>
              </w:tc>
            </w:tr>
          </w:tbl>
          <w:p>
            <w:pPr>
              <w:shd w:val="clear" w:color="auto"/>
            </w:pPr>
          </w:p>
          <w:p>
            <w:pPr>
              <w:shd w:val="clear" w:color="auto"/>
            </w:pPr>
          </w:p>
          <w:p>
            <w:pPr>
              <w:shd w:val="clear" w:color="auto"/>
            </w:pPr>
          </w:p>
          <w:p>
            <w:pPr>
              <w:shd w:val="clear" w:color="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组织建立了与方针一致的文件化的食品安全管理目标。为实现总食品安全目标而建立的各层级食品安全目标具体、有针对性、可测量并且可实现。</w:t>
            </w:r>
          </w:p>
          <w:p>
            <w:pPr>
              <w:shd w:val="clear" w:color="auto"/>
            </w:pPr>
            <w:r>
              <w:rPr>
                <w:rFonts w:hint="eastAsia"/>
              </w:rPr>
              <w:t>总食品安全目标实现情况的评价，及其测量方法是：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6"/>
              <w:gridCol w:w="1343"/>
              <w:gridCol w:w="3088"/>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776" w:type="dxa"/>
                </w:tcPr>
                <w:p>
                  <w:pPr>
                    <w:widowControl/>
                    <w:shd w:val="clear"/>
                    <w:spacing w:before="40"/>
                    <w:jc w:val="left"/>
                    <w:rPr>
                      <w:color w:val="000000"/>
                      <w:sz w:val="21"/>
                      <w:szCs w:val="21"/>
                      <w:highlight w:val="none"/>
                    </w:rPr>
                  </w:pPr>
                  <w:r>
                    <w:rPr>
                      <w:rFonts w:hint="eastAsia"/>
                      <w:color w:val="000000"/>
                      <w:sz w:val="21"/>
                      <w:szCs w:val="21"/>
                      <w:highlight w:val="none"/>
                    </w:rPr>
                    <w:t>目标</w:t>
                  </w:r>
                </w:p>
              </w:tc>
              <w:tc>
                <w:tcPr>
                  <w:tcW w:w="1343" w:type="dxa"/>
                </w:tcPr>
                <w:p>
                  <w:pPr>
                    <w:widowControl/>
                    <w:shd w:val="clear"/>
                    <w:spacing w:before="40"/>
                    <w:jc w:val="left"/>
                    <w:rPr>
                      <w:color w:val="000000"/>
                      <w:sz w:val="21"/>
                      <w:szCs w:val="21"/>
                      <w:highlight w:val="none"/>
                    </w:rPr>
                  </w:pPr>
                  <w:r>
                    <w:rPr>
                      <w:rFonts w:hint="eastAsia"/>
                      <w:color w:val="000000"/>
                      <w:sz w:val="21"/>
                      <w:szCs w:val="21"/>
                      <w:highlight w:val="none"/>
                    </w:rPr>
                    <w:t>考核频次</w:t>
                  </w:r>
                </w:p>
              </w:tc>
              <w:tc>
                <w:tcPr>
                  <w:tcW w:w="3088" w:type="dxa"/>
                </w:tcPr>
                <w:p>
                  <w:pPr>
                    <w:widowControl/>
                    <w:shd w:val="clear"/>
                    <w:spacing w:before="40"/>
                    <w:jc w:val="left"/>
                    <w:rPr>
                      <w:color w:val="000000"/>
                      <w:sz w:val="21"/>
                      <w:szCs w:val="21"/>
                      <w:highlight w:val="none"/>
                    </w:rPr>
                  </w:pPr>
                  <w:r>
                    <w:rPr>
                      <w:rFonts w:hint="eastAsia"/>
                      <w:color w:val="000000"/>
                      <w:sz w:val="21"/>
                      <w:szCs w:val="21"/>
                      <w:highlight w:val="none"/>
                    </w:rPr>
                    <w:t>计算方法</w:t>
                  </w:r>
                </w:p>
              </w:tc>
              <w:tc>
                <w:tcPr>
                  <w:tcW w:w="2111" w:type="dxa"/>
                </w:tcPr>
                <w:p>
                  <w:pPr>
                    <w:widowControl/>
                    <w:shd w:val="clear"/>
                    <w:spacing w:before="40"/>
                    <w:jc w:val="left"/>
                    <w:rPr>
                      <w:color w:val="000000"/>
                      <w:sz w:val="21"/>
                      <w:szCs w:val="21"/>
                      <w:highlight w:val="none"/>
                    </w:rPr>
                  </w:pPr>
                  <w:r>
                    <w:rPr>
                      <w:rFonts w:hint="eastAsia"/>
                      <w:color w:val="000000"/>
                      <w:sz w:val="21"/>
                      <w:szCs w:val="21"/>
                      <w:highlight w:val="none"/>
                    </w:rPr>
                    <w:t>完成情况（</w:t>
                  </w:r>
                  <w:r>
                    <w:rPr>
                      <w:rFonts w:hint="eastAsia"/>
                      <w:color w:val="000000"/>
                      <w:sz w:val="21"/>
                      <w:szCs w:val="21"/>
                      <w:highlight w:val="none"/>
                      <w:lang w:val="en-US" w:eastAsia="zh-CN"/>
                    </w:rPr>
                    <w:t>2021-03~2021-08</w:t>
                  </w:r>
                  <w:r>
                    <w:rPr>
                      <w:rFonts w:hint="eastAsia"/>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776" w:type="dxa"/>
                  <w:vAlign w:val="top"/>
                </w:tcPr>
                <w:p>
                  <w:pPr>
                    <w:widowControl/>
                    <w:spacing w:before="40"/>
                    <w:jc w:val="left"/>
                    <w:rPr>
                      <w:rFonts w:hint="eastAsia" w:ascii="Times New Roman" w:hAnsi="Times New Roman" w:eastAsia="宋体" w:cs="Times New Roman"/>
                      <w:b w:val="0"/>
                      <w:bCs w:val="0"/>
                      <w:kern w:val="2"/>
                      <w:sz w:val="21"/>
                      <w:szCs w:val="21"/>
                      <w:highlight w:val="none"/>
                      <w:lang w:val="en-US" w:eastAsia="zh-CN" w:bidi="ar-SA"/>
                    </w:rPr>
                  </w:pPr>
                  <w:r>
                    <w:rPr>
                      <w:rFonts w:hint="eastAsia"/>
                      <w:color w:val="000000"/>
                      <w:szCs w:val="21"/>
                    </w:rPr>
                    <w:t>食品安全事故为 0</w:t>
                  </w:r>
                </w:p>
              </w:tc>
              <w:tc>
                <w:tcPr>
                  <w:tcW w:w="1343" w:type="dxa"/>
                  <w:vAlign w:val="top"/>
                </w:tcPr>
                <w:p>
                  <w:pPr>
                    <w:widowControl/>
                    <w:spacing w:before="40"/>
                    <w:jc w:val="left"/>
                    <w:rPr>
                      <w:rFonts w:hint="default" w:eastAsia="宋体"/>
                      <w:color w:val="000000"/>
                      <w:sz w:val="21"/>
                      <w:szCs w:val="21"/>
                      <w:highlight w:val="none"/>
                      <w:lang w:val="en-US" w:eastAsia="zh-CN"/>
                    </w:rPr>
                  </w:pPr>
                  <w:r>
                    <w:rPr>
                      <w:rFonts w:hint="eastAsia"/>
                      <w:color w:val="000000"/>
                      <w:szCs w:val="21"/>
                    </w:rPr>
                    <w:t>每</w:t>
                  </w:r>
                  <w:r>
                    <w:rPr>
                      <w:rFonts w:hint="eastAsia"/>
                      <w:color w:val="000000"/>
                      <w:szCs w:val="21"/>
                      <w:lang w:val="en-US" w:eastAsia="zh-CN"/>
                    </w:rPr>
                    <w:t>月</w:t>
                  </w:r>
                </w:p>
              </w:tc>
              <w:tc>
                <w:tcPr>
                  <w:tcW w:w="3088" w:type="dxa"/>
                  <w:vAlign w:val="top"/>
                </w:tcPr>
                <w:p>
                  <w:pPr>
                    <w:widowControl/>
                    <w:spacing w:before="40"/>
                    <w:jc w:val="left"/>
                    <w:rPr>
                      <w:rFonts w:hint="default" w:eastAsia="宋体"/>
                      <w:color w:val="000000"/>
                      <w:sz w:val="21"/>
                      <w:szCs w:val="21"/>
                      <w:highlight w:val="none"/>
                      <w:lang w:val="en-US" w:eastAsia="zh-CN"/>
                    </w:rPr>
                  </w:pPr>
                  <w:r>
                    <w:rPr>
                      <w:color w:val="000000"/>
                      <w:szCs w:val="21"/>
                    </w:rPr>
                    <w:t>食品安全</w:t>
                  </w:r>
                  <w:r>
                    <w:rPr>
                      <w:rFonts w:hint="eastAsia"/>
                      <w:color w:val="000000"/>
                      <w:szCs w:val="21"/>
                    </w:rPr>
                    <w:t>事故发生次数</w:t>
                  </w:r>
                </w:p>
              </w:tc>
              <w:tc>
                <w:tcPr>
                  <w:tcW w:w="2111" w:type="dxa"/>
                  <w:vAlign w:val="top"/>
                </w:tcPr>
                <w:p>
                  <w:pPr>
                    <w:widowControl/>
                    <w:spacing w:before="40"/>
                    <w:jc w:val="left"/>
                    <w:rPr>
                      <w:rFonts w:hint="default" w:eastAsia="宋体"/>
                      <w:color w:val="000000"/>
                      <w:sz w:val="21"/>
                      <w:szCs w:val="21"/>
                      <w:highlight w:val="none"/>
                      <w:lang w:val="en-US" w:eastAsia="zh-CN"/>
                    </w:rPr>
                  </w:pPr>
                  <w:r>
                    <w:rPr>
                      <w:color w:val="000000"/>
                      <w:szCs w:val="18"/>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776" w:type="dxa"/>
                </w:tcPr>
                <w:p>
                  <w:pPr>
                    <w:widowControl/>
                    <w:shd w:val="clear"/>
                    <w:spacing w:before="40"/>
                    <w:jc w:val="left"/>
                    <w:rPr>
                      <w:color w:val="000000"/>
                      <w:sz w:val="21"/>
                      <w:szCs w:val="21"/>
                      <w:highlight w:val="none"/>
                    </w:rPr>
                  </w:pPr>
                </w:p>
              </w:tc>
              <w:tc>
                <w:tcPr>
                  <w:tcW w:w="1343" w:type="dxa"/>
                </w:tcPr>
                <w:p>
                  <w:pPr>
                    <w:widowControl/>
                    <w:shd w:val="clear"/>
                    <w:spacing w:before="40"/>
                    <w:jc w:val="left"/>
                    <w:rPr>
                      <w:color w:val="000000"/>
                      <w:sz w:val="21"/>
                      <w:szCs w:val="21"/>
                      <w:highlight w:val="none"/>
                    </w:rPr>
                  </w:pPr>
                </w:p>
              </w:tc>
              <w:tc>
                <w:tcPr>
                  <w:tcW w:w="3088" w:type="dxa"/>
                </w:tcPr>
                <w:p>
                  <w:pPr>
                    <w:widowControl/>
                    <w:shd w:val="clear"/>
                    <w:spacing w:before="40"/>
                    <w:jc w:val="left"/>
                    <w:rPr>
                      <w:rFonts w:hint="default" w:eastAsia="宋体"/>
                      <w:color w:val="000000"/>
                      <w:sz w:val="21"/>
                      <w:szCs w:val="21"/>
                      <w:highlight w:val="none"/>
                      <w:lang w:val="en-US" w:eastAsia="zh-CN"/>
                    </w:rPr>
                  </w:pPr>
                </w:p>
              </w:tc>
              <w:tc>
                <w:tcPr>
                  <w:tcW w:w="2111" w:type="dxa"/>
                </w:tcPr>
                <w:p>
                  <w:pPr>
                    <w:widowControl/>
                    <w:shd w:val="clear"/>
                    <w:spacing w:before="40"/>
                    <w:jc w:val="left"/>
                    <w:rPr>
                      <w:rFonts w:hint="eastAsia" w:eastAsia="宋体"/>
                      <w:color w:val="00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76" w:type="dxa"/>
                </w:tcPr>
                <w:p>
                  <w:pPr>
                    <w:widowControl/>
                    <w:shd w:val="clear"/>
                    <w:spacing w:before="40"/>
                    <w:jc w:val="left"/>
                    <w:rPr>
                      <w:color w:val="000000"/>
                      <w:sz w:val="21"/>
                      <w:szCs w:val="21"/>
                      <w:highlight w:val="none"/>
                    </w:rPr>
                  </w:pPr>
                </w:p>
              </w:tc>
              <w:tc>
                <w:tcPr>
                  <w:tcW w:w="1343" w:type="dxa"/>
                </w:tcPr>
                <w:p>
                  <w:pPr>
                    <w:widowControl/>
                    <w:shd w:val="clear"/>
                    <w:spacing w:before="40"/>
                    <w:jc w:val="left"/>
                    <w:rPr>
                      <w:color w:val="000000"/>
                      <w:sz w:val="21"/>
                      <w:szCs w:val="21"/>
                      <w:highlight w:val="none"/>
                    </w:rPr>
                  </w:pPr>
                </w:p>
              </w:tc>
              <w:tc>
                <w:tcPr>
                  <w:tcW w:w="3088" w:type="dxa"/>
                </w:tcPr>
                <w:p>
                  <w:pPr>
                    <w:widowControl/>
                    <w:shd w:val="clear"/>
                    <w:spacing w:before="40"/>
                    <w:jc w:val="left"/>
                    <w:rPr>
                      <w:color w:val="000000"/>
                      <w:sz w:val="21"/>
                      <w:szCs w:val="21"/>
                      <w:highlight w:val="none"/>
                    </w:rPr>
                  </w:pPr>
                </w:p>
              </w:tc>
              <w:tc>
                <w:tcPr>
                  <w:tcW w:w="2111" w:type="dxa"/>
                </w:tcPr>
                <w:p>
                  <w:pPr>
                    <w:widowControl/>
                    <w:shd w:val="clear"/>
                    <w:spacing w:before="40"/>
                    <w:jc w:val="left"/>
                    <w:rPr>
                      <w:color w:val="000000"/>
                      <w:sz w:val="21"/>
                      <w:szCs w:val="21"/>
                      <w:highlight w:val="none"/>
                    </w:rPr>
                  </w:pPr>
                </w:p>
              </w:tc>
            </w:tr>
          </w:tbl>
          <w:p>
            <w:pPr>
              <w:shd w:val="clear" w:color="auto"/>
            </w:pPr>
            <w:r>
              <w:rPr>
                <w:rFonts w:hint="eastAsia"/>
              </w:rPr>
              <w:t>☑目标已实现</w:t>
            </w:r>
          </w:p>
          <w:p>
            <w:pPr>
              <w:shd w:val="clear" w:color="auto"/>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组织对相关管理体系进行变更时，变更应按所策划的方式实施；审核周期内的重大变更有：</w:t>
            </w:r>
          </w:p>
          <w:p>
            <w:pPr>
              <w:shd w:val="clear" w:color="auto"/>
              <w:spacing w:before="40" w:after="40"/>
            </w:pPr>
            <w:r>
              <w:rPr>
                <w:rFonts w:hint="eastAsia"/>
              </w:rPr>
              <w:t xml:space="preserve">☑无变更  □组织结构变更 □部门职责变更 □主要原材料 □关键人员 </w:t>
            </w:r>
          </w:p>
          <w:p>
            <w:pPr>
              <w:shd w:val="clear" w:color="auto"/>
              <w:spacing w:before="40" w:after="40"/>
            </w:pPr>
            <w:r>
              <w:rPr>
                <w:rFonts w:hint="eastAsia"/>
              </w:rPr>
              <w:t>□生产工艺/服务流程 □主要设备设施 □主要检测设备 □其他</w:t>
            </w:r>
          </w:p>
          <w:p>
            <w:pPr>
              <w:shd w:val="clear" w:color="auto"/>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restart"/>
            <w:shd w:val="clear" w:color="auto" w:fill="auto"/>
          </w:tcPr>
          <w:p>
            <w:pPr>
              <w:shd w:val="clear" w:color="auto"/>
            </w:pPr>
            <w:r>
              <w:rPr>
                <w:rFonts w:hint="eastAsia"/>
              </w:rPr>
              <w:t>支持</w:t>
            </w:r>
          </w:p>
        </w:tc>
        <w:tc>
          <w:tcPr>
            <w:tcW w:w="9634" w:type="dxa"/>
            <w:shd w:val="clear" w:color="auto" w:fill="auto"/>
          </w:tcPr>
          <w:p>
            <w:pPr>
              <w:shd w:val="clear" w:color="auto"/>
            </w:pPr>
            <w:r>
              <w:rPr>
                <w:rFonts w:hint="eastAsia"/>
              </w:rPr>
              <w:t>组织的资源状况：</w:t>
            </w:r>
          </w:p>
          <w:p>
            <w:pPr>
              <w:shd w:val="clear" w:color="auto"/>
            </w:pPr>
            <w:r>
              <w:rPr>
                <w:rFonts w:hint="eastAsia"/>
              </w:rPr>
              <w:t>☑组织</w:t>
            </w:r>
            <w:r>
              <w:t>现有内部资源的能力</w:t>
            </w:r>
            <w:r>
              <w:rPr>
                <w:rFonts w:hint="eastAsia"/>
              </w:rPr>
              <w:t>可满足食品安全管理体系运行；</w:t>
            </w:r>
          </w:p>
          <w:p>
            <w:pPr>
              <w:shd w:val="clear" w:color="auto"/>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auto"/>
          </w:tcPr>
          <w:p>
            <w:pPr>
              <w:shd w:val="clear" w:color="auto"/>
            </w:pPr>
          </w:p>
        </w:tc>
        <w:tc>
          <w:tcPr>
            <w:tcW w:w="9634" w:type="dxa"/>
            <w:shd w:val="clear" w:color="auto" w:fill="auto"/>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t>☑组织</w:t>
            </w:r>
            <w:r>
              <w:t>现有</w:t>
            </w:r>
            <w:r>
              <w:rPr>
                <w:rFonts w:hint="eastAsia"/>
              </w:rPr>
              <w:t>人力</w:t>
            </w:r>
            <w:r>
              <w:t>资源的能力</w:t>
            </w:r>
            <w:r>
              <w:rPr>
                <w:rFonts w:hint="eastAsia"/>
              </w:rPr>
              <w:t>可满足食品安全管理体系运行；</w:t>
            </w:r>
          </w:p>
          <w:p>
            <w:pPr>
              <w:shd w:val="clear" w:color="auto"/>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rFonts w:hint="eastAsia" w:eastAsia="宋体"/>
                <w:lang w:eastAsia="zh-CN"/>
              </w:rPr>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t>外部专家能力、责任和权限的协议或合同的证据，</w:t>
            </w:r>
            <w:r>
              <w:rPr>
                <w:rFonts w:hint="eastAsia"/>
              </w:rPr>
              <w:sym w:font="Wingdings" w:char="00A8"/>
            </w:r>
            <w:r>
              <w:rPr>
                <w:rFonts w:hint="eastAsia"/>
              </w:rPr>
              <w:t xml:space="preserve">已保留 </w:t>
            </w:r>
            <w:r>
              <w:rPr>
                <w:rFonts w:hint="eastAsia"/>
              </w:rPr>
              <w:sym w:font="Wingdings" w:char="00A8"/>
            </w:r>
            <w:r>
              <w:rPr>
                <w:rFonts w:hint="eastAsia"/>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auto"/>
          </w:tcPr>
          <w:p>
            <w:pPr>
              <w:shd w:val="clear" w:color="auto"/>
            </w:pPr>
          </w:p>
        </w:tc>
        <w:tc>
          <w:tcPr>
            <w:tcW w:w="9634" w:type="dxa"/>
            <w:shd w:val="clear" w:color="auto" w:fill="auto"/>
          </w:tcPr>
          <w:p>
            <w:pPr>
              <w:shd w:val="clear" w:color="auto"/>
              <w:jc w:val="left"/>
              <w:rPr>
                <w:rFonts w:hint="eastAsia"/>
                <w:highlight w:val="none"/>
              </w:rPr>
            </w:pPr>
            <w:r>
              <w:rPr>
                <w:rFonts w:hint="eastAsia"/>
                <w:highlight w:val="none"/>
              </w:rPr>
              <w:t>组织应确定、提供并维护所需的基础设施情况：</w:t>
            </w:r>
          </w:p>
          <w:p>
            <w:pPr>
              <w:rPr>
                <w:rFonts w:hint="default" w:eastAsia="宋体"/>
                <w:lang w:val="en-US" w:eastAsia="zh-CN"/>
              </w:rPr>
            </w:pPr>
            <w:r>
              <w:rPr>
                <w:rFonts w:hint="eastAsia"/>
              </w:rPr>
              <w:t>建筑面积</w:t>
            </w:r>
            <w:r>
              <w:rPr>
                <w:rFonts w:hint="eastAsia"/>
                <w:u w:val="single"/>
              </w:rPr>
              <w:t xml:space="preserve"> </w:t>
            </w:r>
            <w:r>
              <w:rPr>
                <w:u w:val="single"/>
              </w:rPr>
              <w:t xml:space="preserve">2000 </w:t>
            </w:r>
            <w:r>
              <w:rPr>
                <w:rFonts w:hint="eastAsia"/>
                <w:u w:val="single"/>
              </w:rPr>
              <w:t xml:space="preserve"> </w:t>
            </w:r>
            <w:r>
              <w:rPr>
                <w:rFonts w:hint="eastAsia"/>
              </w:rPr>
              <w:t>平方米；生产车间</w:t>
            </w:r>
            <w:r>
              <w:rPr>
                <w:rFonts w:hint="eastAsia"/>
                <w:u w:val="single"/>
              </w:rPr>
              <w:t xml:space="preserve">  </w:t>
            </w:r>
            <w:r>
              <w:rPr>
                <w:u w:val="single"/>
              </w:rPr>
              <w:t>1</w:t>
            </w:r>
            <w:r>
              <w:rPr>
                <w:rFonts w:hint="eastAsia"/>
                <w:u w:val="single"/>
              </w:rPr>
              <w:t xml:space="preserve"> </w:t>
            </w:r>
            <w:r>
              <w:rPr>
                <w:rFonts w:hint="eastAsia"/>
              </w:rPr>
              <w:t>个；仓库</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个；检</w:t>
            </w:r>
            <w:r>
              <w:t>测</w:t>
            </w:r>
            <w:r>
              <w:rPr>
                <w:rFonts w:hint="eastAsia"/>
              </w:rPr>
              <w:t>室</w:t>
            </w:r>
            <w:r>
              <w:rPr>
                <w:rFonts w:hint="eastAsia"/>
                <w:u w:val="single"/>
              </w:rPr>
              <w:t xml:space="preserve">  </w:t>
            </w:r>
            <w:r>
              <w:rPr>
                <w:u w:val="single"/>
              </w:rPr>
              <w:t>1</w:t>
            </w:r>
            <w:r>
              <w:rPr>
                <w:rFonts w:hint="eastAsia"/>
                <w:u w:val="single"/>
              </w:rPr>
              <w:t xml:space="preserve"> </w:t>
            </w:r>
            <w:r>
              <w:rPr>
                <w:rFonts w:hint="eastAsia"/>
              </w:rPr>
              <w:t>个；</w:t>
            </w:r>
            <w:r>
              <w:rPr>
                <w:rFonts w:hint="eastAsia"/>
                <w:lang w:val="en-US" w:eastAsia="zh-CN"/>
              </w:rPr>
              <w:t>原粮仓</w:t>
            </w:r>
            <w:r>
              <w:rPr>
                <w:rFonts w:hint="eastAsia"/>
                <w:u w:val="single"/>
                <w:lang w:val="en-US" w:eastAsia="zh-CN"/>
              </w:rPr>
              <w:t>18个；车辆：3辆</w:t>
            </w:r>
          </w:p>
          <w:p>
            <w:pPr>
              <w:shd w:val="clear"/>
              <w:ind w:left="1680" w:hanging="1680" w:hangingChars="800"/>
              <w:rPr>
                <w:u w:val="single"/>
              </w:rPr>
            </w:pPr>
            <w:r>
              <w:rPr>
                <w:rFonts w:hint="eastAsia"/>
              </w:rPr>
              <w:t>主要生产设备有：</w:t>
            </w:r>
            <w:r>
              <w:rPr>
                <w:rFonts w:hint="eastAsia"/>
                <w:u w:val="single"/>
              </w:rPr>
              <w:t xml:space="preserve">  </w:t>
            </w:r>
            <w:r>
              <w:rPr>
                <w:rFonts w:hint="eastAsia"/>
                <w:szCs w:val="21"/>
                <w:u w:val="single"/>
              </w:rPr>
              <w:t>清理筛、去石机、砻谷机、磁选</w:t>
            </w:r>
            <w:r>
              <w:rPr>
                <w:szCs w:val="21"/>
                <w:u w:val="single"/>
              </w:rPr>
              <w:t>机</w:t>
            </w:r>
            <w:r>
              <w:rPr>
                <w:rFonts w:hint="eastAsia"/>
                <w:szCs w:val="21"/>
                <w:u w:val="single"/>
              </w:rPr>
              <w:t>、碾米机、分级筛、大米抛光机、色选机、定量包装机</w:t>
            </w:r>
            <w:r>
              <w:rPr>
                <w:rFonts w:hint="eastAsia"/>
                <w:u w:val="single"/>
              </w:rPr>
              <w:t xml:space="preserve">     </w:t>
            </w:r>
            <w:r>
              <w:rPr>
                <w:u w:val="single"/>
              </w:rPr>
              <w:t xml:space="preserve"> </w:t>
            </w:r>
            <w:r>
              <w:rPr>
                <w:rFonts w:hint="eastAsia"/>
                <w:u w:val="single"/>
              </w:rPr>
              <w:t>（列举2~4种）</w:t>
            </w:r>
          </w:p>
          <w:p>
            <w:pPr>
              <w:keepNext w:val="0"/>
              <w:keepLines w:val="0"/>
              <w:widowControl w:val="0"/>
              <w:numPr>
                <w:ilvl w:val="0"/>
                <w:numId w:val="0"/>
              </w:numPr>
              <w:suppressLineNumbers w:val="0"/>
              <w:shd w:val="clear"/>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FE"/>
            </w:r>
            <w:r>
              <w:rPr>
                <w:rFonts w:hint="eastAsia"/>
                <w:vertAlign w:val="baseline"/>
                <w:lang w:val="en-US" w:eastAsia="zh-CN"/>
              </w:rPr>
              <w:t xml:space="preserve">压力容器（简单压力容器）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pStyle w:val="2"/>
              <w:keepNext w:val="0"/>
              <w:keepLines w:val="0"/>
              <w:pageBreakBefore w:val="0"/>
              <w:widowControl w:val="0"/>
              <w:tabs>
                <w:tab w:val="clear" w:pos="1560"/>
                <w:tab w:val="clear" w:pos="1985"/>
              </w:tabs>
              <w:kinsoku/>
              <w:wordWrap/>
              <w:overflowPunct/>
              <w:topLinePunct w:val="0"/>
              <w:autoSpaceDE/>
              <w:autoSpaceDN/>
              <w:bidi w:val="0"/>
              <w:adjustRightInd/>
              <w:snapToGrid/>
              <w:spacing w:after="0" w:line="240" w:lineRule="auto"/>
              <w:ind w:left="0" w:leftChars="0" w:right="105" w:rightChars="50" w:firstLine="0" w:firstLineChars="0"/>
              <w:jc w:val="left"/>
              <w:textAlignment w:val="auto"/>
              <w:rPr>
                <w:rFonts w:hint="default"/>
                <w:b w:val="0"/>
                <w:bCs/>
                <w:color w:val="FF0000"/>
                <w:highlight w:val="yellow"/>
                <w:u w:val="single"/>
                <w:vertAlign w:val="baseline"/>
                <w:lang w:val="en-US" w:eastAsia="zh-CN"/>
              </w:rPr>
            </w:pPr>
            <w:r>
              <w:rPr>
                <w:rFonts w:hint="eastAsia"/>
                <w:highlight w:val="none"/>
                <w:u w:val="none"/>
                <w:vertAlign w:val="baseline"/>
                <w:lang w:val="en-US" w:eastAsia="zh-CN"/>
              </w:rPr>
              <w:t>特种设备管理：</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进行了定期检验  </w:t>
            </w:r>
            <w:r>
              <w:rPr>
                <w:rFonts w:hint="eastAsia"/>
                <w:highlight w:val="none"/>
                <w:vertAlign w:val="baseline"/>
                <w:lang w:val="en-US" w:eastAsia="zh-CN"/>
              </w:rPr>
              <w:sym w:font="Wingdings" w:char="00FE"/>
            </w:r>
            <w:r>
              <w:rPr>
                <w:rFonts w:hint="eastAsia"/>
                <w:highlight w:val="none"/>
                <w:vertAlign w:val="baseline"/>
                <w:lang w:val="en-US" w:eastAsia="zh-CN"/>
              </w:rPr>
              <w:t>未进行</w:t>
            </w:r>
            <w:r>
              <w:rPr>
                <w:rFonts w:hint="eastAsia"/>
                <w:highlight w:val="none"/>
                <w:u w:val="none"/>
                <w:vertAlign w:val="baseline"/>
                <w:lang w:val="en-US" w:eastAsia="zh-CN"/>
              </w:rPr>
              <w:t xml:space="preserve">定期检验的有： </w:t>
            </w:r>
            <w:r>
              <w:rPr>
                <w:rFonts w:hint="eastAsia"/>
                <w:highlight w:val="none"/>
                <w:u w:val="single"/>
                <w:vertAlign w:val="baseline"/>
                <w:lang w:val="en-US" w:eastAsia="zh-CN"/>
              </w:rPr>
              <w:t xml:space="preserve"> </w:t>
            </w:r>
            <w:r>
              <w:rPr>
                <w:rFonts w:hint="eastAsia"/>
                <w:color w:val="FF0000"/>
                <w:highlight w:val="none"/>
                <w:u w:val="single"/>
                <w:vertAlign w:val="baseline"/>
                <w:lang w:val="en-US" w:eastAsia="zh-CN"/>
              </w:rPr>
              <w:t>见不符合报告01：</w:t>
            </w:r>
            <w:r>
              <w:rPr>
                <w:rFonts w:hint="eastAsia" w:ascii="黑体" w:hAnsi="黑体" w:eastAsia="黑体" w:cs="黑体"/>
                <w:b w:val="0"/>
                <w:bCs/>
                <w:color w:val="FF0000"/>
                <w:u w:val="none"/>
                <w:lang w:val="en-US" w:eastAsia="zh-CN"/>
              </w:rPr>
              <w:t>抽查设备管理情况发现：简单压力容器：</w:t>
            </w:r>
            <w:r>
              <w:rPr>
                <w:rFonts w:hint="eastAsia" w:ascii="黑体" w:hAnsi="黑体" w:eastAsia="黑体" w:cs="黑体"/>
                <w:b w:val="0"/>
                <w:bCs/>
                <w:color w:val="FF0000"/>
                <w:highlight w:val="none"/>
                <w:u w:val="none"/>
                <w:lang w:val="en-US" w:eastAsia="zh-CN"/>
              </w:rPr>
              <w:t>储气罐（产品编号：LX110703A1）、螺杆机气桶（产品编号：110063）已超过使用年限，但未按照《压力容器定期检验规则》的要求进行检定，也未提供安全法、压力表校验证据；简单压力容器：储气罐（产品编号19050-2021），未提供安全法、压力表的校验证据；</w:t>
            </w:r>
          </w:p>
          <w:p>
            <w:pPr>
              <w:pStyle w:val="2"/>
            </w:pPr>
          </w:p>
          <w:p>
            <w:pPr>
              <w:shd w:val="clear" w:color="auto"/>
              <w:jc w:val="left"/>
              <w:rPr>
                <w:highlight w:val="none"/>
              </w:rPr>
            </w:pPr>
            <w:r>
              <w:rPr>
                <w:rFonts w:hint="eastAsia"/>
                <w:highlight w:val="none"/>
              </w:rPr>
              <w:sym w:font="Wingdings 2" w:char="00A3"/>
            </w:r>
            <w:r>
              <w:rPr>
                <w:rFonts w:hint="eastAsia"/>
                <w:highlight w:val="none"/>
              </w:rPr>
              <w:t>组织</w:t>
            </w:r>
            <w:r>
              <w:rPr>
                <w:highlight w:val="none"/>
              </w:rPr>
              <w:t>现有</w:t>
            </w:r>
            <w:r>
              <w:rPr>
                <w:rFonts w:hint="eastAsia"/>
                <w:highlight w:val="none"/>
              </w:rPr>
              <w:t>基础设施可满足食品安全管理体系运行；</w:t>
            </w:r>
          </w:p>
          <w:p>
            <w:pPr>
              <w:shd w:val="clear" w:color="auto"/>
              <w:jc w:val="left"/>
              <w:rPr>
                <w:highlight w:val="none"/>
                <w:u w:val="singl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基础设施可基本满足食品安全管理体系运行，但是还有不足需要补充：</w:t>
            </w:r>
            <w:r>
              <w:rPr>
                <w:rFonts w:hint="eastAsia"/>
                <w:highlight w:val="none"/>
                <w:u w:val="single"/>
                <w:lang w:val="en-US" w:eastAsia="zh-CN"/>
              </w:rPr>
              <w:t>有配置鼠害防控措施如挡鼠板，但较弱，需要后期改进</w:t>
            </w:r>
            <w:r>
              <w:rPr>
                <w:rFonts w:hint="eastAsia"/>
                <w:highlight w:val="none"/>
                <w:u w:val="single"/>
              </w:rPr>
              <w:t xml:space="preserve">           </w:t>
            </w:r>
          </w:p>
          <w:p>
            <w:pPr>
              <w:shd w:val="clear" w:color="auto"/>
              <w:jc w:val="left"/>
              <w:rPr>
                <w:u w:val="single"/>
              </w:rPr>
            </w:pPr>
            <w:r>
              <w:rPr>
                <w:rFonts w:hint="eastAsia"/>
                <w:highlight w:val="none"/>
              </w:rPr>
              <w:t>□组织</w:t>
            </w:r>
            <w:r>
              <w:rPr>
                <w:highlight w:val="none"/>
              </w:rPr>
              <w:t>现有</w:t>
            </w:r>
            <w:r>
              <w:rPr>
                <w:rFonts w:hint="eastAsia"/>
                <w:highlight w:val="none"/>
              </w:rPr>
              <w:t>基础设施完全不能满足食品安全管理体系运行，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trPr>
        <w:tc>
          <w:tcPr>
            <w:tcW w:w="680" w:type="dxa"/>
            <w:vMerge w:val="continue"/>
            <w:shd w:val="clear" w:color="auto" w:fill="auto"/>
          </w:tcPr>
          <w:p>
            <w:pPr>
              <w:shd w:val="clear" w:color="auto"/>
            </w:pPr>
          </w:p>
        </w:tc>
        <w:tc>
          <w:tcPr>
            <w:tcW w:w="9634" w:type="dxa"/>
            <w:shd w:val="clear" w:color="auto" w:fill="auto"/>
          </w:tcPr>
          <w:p>
            <w:pPr>
              <w:shd w:val="clear" w:color="auto"/>
            </w:pPr>
            <w:r>
              <w:t xml:space="preserve">组织应确定、提供并维护所需的人为因素与物理因素环境，以实现与FSMS要求的一致性。 </w:t>
            </w:r>
          </w:p>
          <w:p>
            <w:pPr>
              <w:shd w:val="clear" w:color="auto"/>
            </w:pPr>
            <w:r>
              <w:rPr>
                <w:rFonts w:hint="eastAsia"/>
              </w:rPr>
              <w:t>☑组织</w:t>
            </w:r>
            <w:r>
              <w:t>现有</w:t>
            </w:r>
            <w:r>
              <w:rPr>
                <w:rFonts w:hint="eastAsia"/>
              </w:rPr>
              <w:t>运行环境可满足食品安全管理体系运行；</w:t>
            </w:r>
          </w:p>
          <w:p>
            <w:pPr>
              <w:shd w:val="clear" w:color="auto"/>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pPr>
            <w:r>
              <w:rPr>
                <w:rFonts w:hint="eastAsia"/>
              </w:rPr>
              <w:t>若受审核方</w:t>
            </w:r>
            <w:r>
              <w:t>使用外部建立的FSMS要素建立其FSMS时，应确保所提供的要素为：</w:t>
            </w:r>
          </w:p>
          <w:p>
            <w:pPr>
              <w:shd w:val="clear" w:color="auto"/>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trPr>
        <w:tc>
          <w:tcPr>
            <w:tcW w:w="680" w:type="dxa"/>
            <w:vMerge w:val="continue"/>
            <w:shd w:val="clear" w:color="auto" w:fill="auto"/>
          </w:tcPr>
          <w:p>
            <w:pPr>
              <w:shd w:val="clear" w:color="auto"/>
            </w:pPr>
          </w:p>
        </w:tc>
        <w:tc>
          <w:tcPr>
            <w:tcW w:w="9634" w:type="dxa"/>
            <w:shd w:val="clear" w:color="auto" w:fill="auto"/>
          </w:tcPr>
          <w:p>
            <w:pPr>
              <w:shd w:val="clear" w:color="auto"/>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jc w:val="left"/>
              <w:rPr>
                <w:highlight w:val="none"/>
              </w:rPr>
            </w:pPr>
            <w:r>
              <w:rPr>
                <w:rFonts w:hint="eastAsia"/>
                <w:highlight w:val="none"/>
              </w:rPr>
              <w:t xml:space="preserve">外部提供包括：☑原材料采购 </w:t>
            </w:r>
            <w:r>
              <w:rPr>
                <w:rFonts w:hint="eastAsia"/>
                <w:highlight w:val="none"/>
              </w:rPr>
              <w:sym w:font="Wingdings" w:char="00A8"/>
            </w:r>
            <w:r>
              <w:rPr>
                <w:rFonts w:hint="eastAsia"/>
                <w:highlight w:val="none"/>
              </w:rPr>
              <w:t xml:space="preserve">委托加工  </w:t>
            </w:r>
            <w:r>
              <w:rPr>
                <w:rFonts w:hint="eastAsia"/>
                <w:highlight w:val="none"/>
              </w:rPr>
              <w:sym w:font="Wingdings" w:char="00A8"/>
            </w:r>
            <w:r>
              <w:rPr>
                <w:rFonts w:hint="eastAsia"/>
                <w:highlight w:val="none"/>
              </w:rPr>
              <w:t xml:space="preserve">产品运输  </w:t>
            </w:r>
            <w:r>
              <w:rPr>
                <w:rFonts w:hint="eastAsia"/>
                <w:highlight w:val="none"/>
              </w:rPr>
              <w:sym w:font="Wingdings" w:char="00A8"/>
            </w:r>
            <w:r>
              <w:rPr>
                <w:rFonts w:hint="eastAsia"/>
                <w:highlight w:val="none"/>
              </w:rPr>
              <w:t>其他</w:t>
            </w:r>
          </w:p>
          <w:p>
            <w:pPr>
              <w:shd w:val="clear"/>
              <w:snapToGrid w:val="0"/>
              <w:spacing w:line="264" w:lineRule="auto"/>
              <w:rPr>
                <w:szCs w:val="21"/>
                <w:highlight w:val="none"/>
              </w:rPr>
            </w:pPr>
            <w:r>
              <w:rPr>
                <w:rFonts w:hint="eastAsia"/>
                <w:szCs w:val="21"/>
                <w:highlight w:val="none"/>
              </w:rPr>
              <w:t>合格</w:t>
            </w:r>
            <w:r>
              <w:rPr>
                <w:szCs w:val="21"/>
                <w:highlight w:val="none"/>
              </w:rPr>
              <w:t>供方名单</w:t>
            </w:r>
            <w:r>
              <w:rPr>
                <w:rFonts w:hint="eastAsia"/>
                <w:szCs w:val="21"/>
                <w:highlight w:val="none"/>
              </w:rPr>
              <w:t>共</w:t>
            </w:r>
            <w:r>
              <w:rPr>
                <w:rFonts w:hint="eastAsia"/>
                <w:szCs w:val="21"/>
                <w:highlight w:val="none"/>
                <w:u w:val="single"/>
              </w:rPr>
              <w:t xml:space="preserve"> </w:t>
            </w:r>
            <w:r>
              <w:rPr>
                <w:rFonts w:hint="eastAsia"/>
                <w:szCs w:val="21"/>
                <w:highlight w:val="none"/>
                <w:u w:val="single"/>
                <w:lang w:val="en-US" w:eastAsia="zh-CN"/>
              </w:rPr>
              <w:t>5</w:t>
            </w:r>
            <w:r>
              <w:rPr>
                <w:rFonts w:hint="eastAsia"/>
                <w:szCs w:val="21"/>
                <w:highlight w:val="none"/>
              </w:rPr>
              <w:t>家，例如：</w:t>
            </w:r>
          </w:p>
          <w:p>
            <w:pPr>
              <w:widowControl/>
              <w:numPr>
                <w:ilvl w:val="0"/>
                <w:numId w:val="6"/>
              </w:numPr>
              <w:shd w:val="clear"/>
              <w:snapToGrid w:val="0"/>
              <w:spacing w:before="40" w:after="40" w:line="264" w:lineRule="auto"/>
              <w:rPr>
                <w:rFonts w:hint="eastAsia"/>
                <w:color w:val="0000FF"/>
                <w:szCs w:val="21"/>
                <w:highlight w:val="none"/>
                <w:lang w:val="en-US" w:eastAsia="zh-CN"/>
              </w:rPr>
            </w:pPr>
            <w:r>
              <w:rPr>
                <w:rFonts w:hint="eastAsia"/>
                <w:color w:val="0000FF"/>
                <w:szCs w:val="21"/>
                <w:highlight w:val="none"/>
                <w:lang w:val="en-US" w:eastAsia="zh-CN"/>
              </w:rPr>
              <w:t>原料</w:t>
            </w:r>
            <w:r>
              <w:rPr>
                <w:rFonts w:hint="eastAsia"/>
                <w:color w:val="0000FF"/>
                <w:szCs w:val="21"/>
                <w:highlight w:val="none"/>
              </w:rPr>
              <w:t>的供方——</w:t>
            </w:r>
            <w:r>
              <w:rPr>
                <w:rFonts w:hint="eastAsia"/>
                <w:color w:val="0000FF"/>
                <w:szCs w:val="21"/>
                <w:highlight w:val="none"/>
                <w:lang w:val="en-US" w:eastAsia="zh-CN"/>
              </w:rPr>
              <w:t>稻谷（赣州市南康区三清源大米专业合作社</w:t>
            </w:r>
          </w:p>
          <w:p>
            <w:pPr>
              <w:widowControl/>
              <w:numPr>
                <w:ilvl w:val="0"/>
                <w:numId w:val="6"/>
              </w:numPr>
              <w:shd w:val="clear"/>
              <w:snapToGrid w:val="0"/>
              <w:spacing w:before="40" w:after="40" w:line="264" w:lineRule="auto"/>
              <w:rPr>
                <w:highlight w:val="none"/>
              </w:rPr>
            </w:pPr>
            <w:r>
              <w:rPr>
                <w:rFonts w:hint="eastAsia"/>
                <w:color w:val="0000FF"/>
                <w:szCs w:val="21"/>
                <w:highlight w:val="none"/>
                <w:lang w:val="en-US" w:eastAsia="zh-CN"/>
              </w:rPr>
              <w:t>内包装袋的供方</w:t>
            </w:r>
            <w:r>
              <w:rPr>
                <w:rFonts w:hint="eastAsia"/>
                <w:color w:val="0000FF"/>
                <w:szCs w:val="21"/>
                <w:highlight w:val="none"/>
              </w:rPr>
              <w:t>——</w:t>
            </w:r>
            <w:r>
              <w:rPr>
                <w:rFonts w:hint="eastAsia" w:asciiTheme="minorEastAsia" w:hAnsiTheme="minorEastAsia" w:eastAsiaTheme="minorEastAsia"/>
                <w:color w:val="000000"/>
                <w:szCs w:val="21"/>
                <w:highlight w:val="none"/>
              </w:rPr>
              <w:t>编织袋</w:t>
            </w:r>
            <w:r>
              <w:rPr>
                <w:rFonts w:hint="eastAsia"/>
                <w:highlight w:val="none"/>
                <w:lang w:val="en-US" w:eastAsia="zh-CN"/>
              </w:rPr>
              <w:t>（</w:t>
            </w:r>
            <w:r>
              <w:rPr>
                <w:rFonts w:hint="eastAsia" w:asciiTheme="minorEastAsia" w:hAnsiTheme="minorEastAsia" w:eastAsiaTheme="minorEastAsia"/>
                <w:color w:val="000000"/>
                <w:szCs w:val="21"/>
                <w:highlight w:val="none"/>
              </w:rPr>
              <w:t>浙</w:t>
            </w:r>
            <w:r>
              <w:rPr>
                <w:rFonts w:asciiTheme="minorEastAsia" w:hAnsiTheme="minorEastAsia" w:eastAsiaTheme="minorEastAsia"/>
                <w:color w:val="000000"/>
                <w:szCs w:val="21"/>
                <w:highlight w:val="none"/>
              </w:rPr>
              <w:t>江省</w:t>
            </w:r>
            <w:r>
              <w:rPr>
                <w:rFonts w:hint="eastAsia" w:asciiTheme="minorEastAsia" w:hAnsiTheme="minorEastAsia" w:eastAsiaTheme="minorEastAsia"/>
                <w:color w:val="000000"/>
                <w:szCs w:val="21"/>
                <w:highlight w:val="none"/>
              </w:rPr>
              <w:t>中</w:t>
            </w:r>
            <w:r>
              <w:rPr>
                <w:rFonts w:asciiTheme="minorEastAsia" w:hAnsiTheme="minorEastAsia" w:eastAsiaTheme="minorEastAsia"/>
                <w:color w:val="000000"/>
                <w:szCs w:val="21"/>
                <w:highlight w:val="none"/>
              </w:rPr>
              <w:t>宇节能科技有有限公司</w:t>
            </w:r>
            <w:r>
              <w:rPr>
                <w:rFonts w:hint="eastAsia"/>
                <w:highlight w:val="none"/>
                <w:lang w:val="en-US" w:eastAsia="zh-CN"/>
              </w:rPr>
              <w:t>）</w:t>
            </w:r>
          </w:p>
          <w:p>
            <w:pPr>
              <w:widowControl/>
              <w:numPr>
                <w:ilvl w:val="0"/>
                <w:numId w:val="6"/>
              </w:numPr>
              <w:shd w:val="clear"/>
              <w:snapToGrid w:val="0"/>
              <w:spacing w:before="40" w:after="40" w:line="264" w:lineRule="auto"/>
              <w:rPr>
                <w:highlight w:val="none"/>
              </w:rPr>
            </w:pPr>
          </w:p>
          <w:p>
            <w:pPr>
              <w:pStyle w:val="2"/>
              <w:shd w:val="clear"/>
              <w:ind w:left="0" w:leftChars="0" w:firstLine="0" w:firstLineChars="0"/>
              <w:rPr>
                <w:rFonts w:hint="eastAsia"/>
                <w:highlight w:val="none"/>
              </w:rPr>
            </w:pPr>
          </w:p>
          <w:p>
            <w:pPr>
              <w:shd w:val="clear" w:color="auto"/>
              <w:jc w:val="left"/>
            </w:pPr>
            <w:r>
              <w:rPr>
                <w:rFonts w:hint="eastAsia"/>
                <w:highlight w:val="none"/>
              </w:rPr>
              <w:t xml:space="preserve">与外部供方评价的信息：☑符合要求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组织已确定在其控制的工作人员所需具备的能力，并采取措施以获得所需的能力，并评价措施的有效性；</w:t>
            </w:r>
          </w:p>
          <w:p>
            <w:pPr>
              <w:shd w:val="clear" w:color="auto"/>
            </w:pPr>
            <w:r>
              <w:rPr>
                <w:rFonts w:hint="eastAsia"/>
              </w:rPr>
              <w:t xml:space="preserve">通过 ☑招聘 ☑换岗  ☑培训  ☑考核   ☑辅导  </w:t>
            </w:r>
            <w:r>
              <w:rPr>
                <w:rFonts w:hint="eastAsia"/>
              </w:rPr>
              <w:sym w:font="Wingdings" w:char="00A8"/>
            </w:r>
            <w:r>
              <w:rPr>
                <w:rFonts w:hint="eastAsia"/>
              </w:rPr>
              <w:t>其他</w:t>
            </w:r>
          </w:p>
          <w:p>
            <w:pPr>
              <w:shd w:val="clear" w:color="auto"/>
            </w:pPr>
            <w:r>
              <w:rPr>
                <w:rFonts w:hint="eastAsia"/>
              </w:rPr>
              <w:t>对国家规定持证上岗的人员资质进行了有效的管理。</w:t>
            </w:r>
          </w:p>
          <w:p>
            <w:pPr>
              <w:shd w:val="clear" w:color="auto"/>
            </w:pPr>
            <w:r>
              <w:rPr>
                <w:rFonts w:hint="eastAsia"/>
              </w:rPr>
              <w:t>特种作业人员：</w:t>
            </w:r>
            <w:r>
              <w:rPr>
                <w:rFonts w:hint="eastAsia"/>
              </w:rPr>
              <w:sym w:font="Wingdings" w:char="00FE"/>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shd w:val="clear" w:color="auto"/>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p>
            <w:pPr>
              <w:shd w:val="clear" w:color="auto"/>
              <w:rPr>
                <w:rFonts w:hint="eastAsia"/>
              </w:rPr>
            </w:pPr>
            <w:r>
              <w:rPr>
                <w:rFonts w:hint="eastAsia"/>
              </w:rPr>
              <w:t>确保与产品/服务接触的员工定期（近一年）进行了健康体检，并合格上岗。</w:t>
            </w:r>
          </w:p>
          <w:p>
            <w:pPr>
              <w:rPr>
                <w:rFonts w:hint="default" w:eastAsia="宋体"/>
                <w:u w:val="single"/>
                <w:lang w:val="en-US" w:eastAsia="zh-CN"/>
              </w:rPr>
            </w:pPr>
            <w:r>
              <w:rPr>
                <w:rFonts w:hint="eastAsia"/>
                <w:u w:val="single"/>
                <w:lang w:val="en-US" w:eastAsia="zh-CN"/>
              </w:rPr>
              <w:t>随机抽查：</w:t>
            </w:r>
            <w:r>
              <w:rPr>
                <w:rFonts w:hint="eastAsia"/>
                <w:u w:val="single"/>
              </w:rPr>
              <w:t>朱剑霞</w:t>
            </w:r>
            <w:r>
              <w:rPr>
                <w:rFonts w:hint="eastAsia"/>
                <w:u w:val="single"/>
                <w:lang w:eastAsia="zh-CN"/>
              </w:rPr>
              <w:t>、</w:t>
            </w:r>
            <w:r>
              <w:rPr>
                <w:rFonts w:hint="eastAsia"/>
                <w:u w:val="single"/>
              </w:rPr>
              <w:t>杨佳荣</w:t>
            </w:r>
            <w:r>
              <w:rPr>
                <w:rFonts w:hint="eastAsia"/>
                <w:u w:val="single"/>
                <w:lang w:eastAsia="zh-CN"/>
              </w:rPr>
              <w:t>、</w:t>
            </w:r>
            <w:r>
              <w:rPr>
                <w:rFonts w:hint="eastAsia"/>
                <w:u w:val="single"/>
              </w:rPr>
              <w:t>陈斌</w:t>
            </w:r>
            <w:r>
              <w:rPr>
                <w:rFonts w:hint="eastAsia"/>
                <w:u w:val="single"/>
                <w:lang w:eastAsia="zh-CN"/>
              </w:rPr>
              <w:t>、</w:t>
            </w:r>
            <w:r>
              <w:rPr>
                <w:rFonts w:hint="eastAsia"/>
                <w:u w:val="single"/>
              </w:rPr>
              <w:t>潘昌鑫</w:t>
            </w:r>
            <w:r>
              <w:rPr>
                <w:rFonts w:hint="eastAsia"/>
                <w:u w:val="single"/>
                <w:lang w:val="en-US" w:eastAsia="zh-CN"/>
              </w:rPr>
              <w:t>的健康证，在有效期内。</w:t>
            </w:r>
          </w:p>
          <w:p>
            <w:pPr>
              <w:pStyle w:val="2"/>
              <w:rPr>
                <w:rFonts w:hint="default" w:eastAsia="宋体"/>
                <w:lang w:val="en-US" w:eastAsia="zh-CN"/>
              </w:rPr>
            </w:pPr>
          </w:p>
          <w:p>
            <w:pPr>
              <w:shd w:val="clear" w:color="auto"/>
            </w:pPr>
            <w:r>
              <w:rPr>
                <w:rFonts w:hint="eastAsia"/>
              </w:rPr>
              <w:t xml:space="preserve">   确保食品安全小组在制定和实施食品安全管理体系（包括但不限于本组织在食品安全管理体系范围内的产品、工艺、设备和食品安全危害）方面具有多学科知识和经验的结合；</w:t>
            </w:r>
          </w:p>
          <w:p>
            <w:pPr>
              <w:shd w:val="clear"/>
              <w:tabs>
                <w:tab w:val="left" w:pos="510"/>
              </w:tabs>
              <w:autoSpaceDE w:val="0"/>
              <w:autoSpaceDN w:val="0"/>
              <w:adjustRightInd w:val="0"/>
              <w:ind w:right="6"/>
            </w:pPr>
            <w:r>
              <w:rPr>
                <w:rFonts w:hint="eastAsia"/>
              </w:rPr>
              <w:t>食品安全小组包括以下组员/职能：</w:t>
            </w:r>
          </w:p>
          <w:p>
            <w:pPr>
              <w:shd w:val="clear"/>
              <w:tabs>
                <w:tab w:val="left" w:pos="510"/>
              </w:tabs>
              <w:autoSpaceDE w:val="0"/>
              <w:autoSpaceDN w:val="0"/>
              <w:adjustRightInd w:val="0"/>
              <w:ind w:right="6"/>
            </w:pPr>
            <w:r>
              <w:rPr>
                <w:rFonts w:hint="eastAsia"/>
              </w:rPr>
              <w:t>☑管理者代表 (食品安全小组组长) 、☑</w:t>
            </w:r>
            <w:r>
              <w:rPr>
                <w:rFonts w:hint="eastAsia"/>
                <w:lang w:val="en-US" w:eastAsia="zh-CN"/>
              </w:rPr>
              <w:t>行政部</w:t>
            </w:r>
            <w:r>
              <w:rPr>
                <w:rFonts w:hint="eastAsia"/>
              </w:rPr>
              <w:t>人员、 ☑</w:t>
            </w:r>
            <w:r>
              <w:rPr>
                <w:rFonts w:hint="eastAsia"/>
                <w:lang w:val="en-US" w:eastAsia="zh-CN"/>
              </w:rPr>
              <w:t>生产</w:t>
            </w:r>
            <w:r>
              <w:rPr>
                <w:rFonts w:hint="eastAsia"/>
              </w:rPr>
              <w:t>部人员、☑</w:t>
            </w:r>
            <w:r>
              <w:rPr>
                <w:rFonts w:hint="eastAsia"/>
                <w:lang w:val="en-US" w:eastAsia="zh-CN"/>
              </w:rPr>
              <w:t>品管</w:t>
            </w:r>
            <w:r>
              <w:rPr>
                <w:rFonts w:hint="eastAsia"/>
              </w:rPr>
              <w:t>部人员、</w:t>
            </w:r>
          </w:p>
          <w:p>
            <w:pPr>
              <w:shd w:val="clear"/>
              <w:tabs>
                <w:tab w:val="left" w:pos="510"/>
              </w:tabs>
              <w:autoSpaceDE w:val="0"/>
              <w:autoSpaceDN w:val="0"/>
              <w:adjustRightInd w:val="0"/>
              <w:ind w:right="6"/>
            </w:pPr>
            <w:r>
              <w:rPr>
                <w:rFonts w:hint="eastAsia"/>
              </w:rPr>
              <w:sym w:font="Wingdings" w:char="00FE"/>
            </w:r>
            <w:r>
              <w:rPr>
                <w:rFonts w:hint="eastAsia"/>
                <w:lang w:val="en-US" w:eastAsia="zh-CN"/>
              </w:rPr>
              <w:t>业务部</w:t>
            </w:r>
            <w:r>
              <w:rPr>
                <w:rFonts w:hint="eastAsia"/>
              </w:rPr>
              <w:t xml:space="preserve">人员、  </w:t>
            </w:r>
            <w:r>
              <w:rPr>
                <w:rFonts w:hint="eastAsia"/>
              </w:rPr>
              <w:sym w:font="Wingdings" w:char="00A8"/>
            </w:r>
            <w:r>
              <w:rPr>
                <w:rFonts w:hint="eastAsia"/>
              </w:rPr>
              <w:t>HR部人员、</w:t>
            </w:r>
            <w:r>
              <w:rPr>
                <w:rFonts w:hint="eastAsia"/>
              </w:rPr>
              <w:sym w:font="Wingdings" w:char="00A8"/>
            </w:r>
            <w:r>
              <w:rPr>
                <w:rFonts w:hint="eastAsia"/>
              </w:rPr>
              <w:t xml:space="preserve">销售部人员  </w:t>
            </w:r>
            <w:r>
              <w:rPr>
                <w:rFonts w:hint="eastAsia"/>
              </w:rPr>
              <w:sym w:font="Wingdings" w:char="00A8"/>
            </w:r>
            <w:r>
              <w:rPr>
                <w:rFonts w:hint="eastAsia"/>
              </w:rPr>
              <w:t>其他</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组织已确定与食品安全管理体系相关的内部和外部沟通。</w:t>
            </w:r>
          </w:p>
          <w:p>
            <w:pPr>
              <w:shd w:val="clear" w:color="auto"/>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☑宣传材料  </w:t>
            </w:r>
            <w:r>
              <w:rPr>
                <w:rFonts w:hint="eastAsia"/>
              </w:rPr>
              <w:sym w:font="Wingdings" w:char="00A8"/>
            </w:r>
            <w:r>
              <w:rPr>
                <w:rFonts w:hint="eastAsia"/>
              </w:rPr>
              <w:t>其他</w:t>
            </w:r>
          </w:p>
          <w:p>
            <w:pPr>
              <w:shd w:val="clear" w:color="auto"/>
            </w:pPr>
            <w:r>
              <w:rPr>
                <w:rFonts w:hint="eastAsia"/>
              </w:rPr>
              <w:t>内部沟通信息：☑</w:t>
            </w:r>
            <w:r>
              <w:rPr>
                <w:rFonts w:hint="eastAsia"/>
                <w:lang w:val="en-US" w:eastAsia="zh-CN"/>
              </w:rPr>
              <w:t>OPR</w:t>
            </w:r>
            <w:r>
              <w:rPr>
                <w:rFonts w:hint="eastAsia"/>
              </w:rPr>
              <w:t xml:space="preserve">  ☑OPR</w:t>
            </w:r>
            <w:r>
              <w:rPr>
                <w:rFonts w:hint="eastAsia"/>
                <w:lang w:val="en-US" w:eastAsia="zh-CN"/>
              </w:rPr>
              <w:t>P</w:t>
            </w:r>
            <w:r>
              <w:rPr>
                <w:rFonts w:hint="eastAsia"/>
              </w:rPr>
              <w:t xml:space="preserve">  ☑HACCP计划  ☑人员能力和职责  ☑法规和顾客要求 </w:t>
            </w:r>
          </w:p>
          <w:p>
            <w:pPr>
              <w:shd w:val="clear" w:color="auto"/>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ind w:firstLine="1470" w:firstLineChars="700"/>
            </w:pPr>
            <w:r>
              <w:rPr>
                <w:rFonts w:hint="eastAsia"/>
              </w:rPr>
              <w:sym w:font="Wingdings" w:char="00A8"/>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组织已建立了文件化的</w:t>
            </w:r>
            <w:r>
              <w:t>食品安全</w:t>
            </w:r>
            <w:r>
              <w:rPr>
                <w:rFonts w:hint="eastAsia"/>
              </w:rPr>
              <w:t xml:space="preserve">管理体系。对自编文件的编制、审批、发放、变更和作废进行了控制。 </w:t>
            </w:r>
          </w:p>
          <w:p>
            <w:pPr>
              <w:shd w:val="clear" w:color="auto"/>
              <w:rPr>
                <w:u w:val="single"/>
              </w:rPr>
            </w:pPr>
            <w:r>
              <w:rPr>
                <w:rFonts w:hint="eastAsia"/>
                <w:lang w:eastAsia="zh-CN"/>
              </w:rPr>
              <w:sym w:font="Wingdings 2" w:char="0052"/>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pPr>
            <w:r>
              <w:rPr>
                <w:rFonts w:hint="eastAsia"/>
              </w:rPr>
              <w:t>对</w:t>
            </w:r>
            <w:r>
              <w:t>食品安全</w:t>
            </w:r>
            <w:r>
              <w:rPr>
                <w:rFonts w:hint="eastAsia"/>
              </w:rPr>
              <w:t>相关的外来文件（法律法规、产品标准）进行了识别和贯彻。</w:t>
            </w:r>
          </w:p>
          <w:p>
            <w:pPr>
              <w:shd w:val="clear"/>
              <w:snapToGrid w:val="0"/>
              <w:spacing w:line="360" w:lineRule="auto"/>
              <w:rPr>
                <w:rFonts w:hint="default" w:hAnsi="宋体" w:eastAsia="宋体"/>
                <w:b/>
                <w:color w:val="FF0000"/>
                <w:sz w:val="21"/>
                <w:szCs w:val="21"/>
                <w:u w:val="single"/>
                <w:lang w:val="en-US" w:eastAsia="zh-CN"/>
              </w:rPr>
            </w:pPr>
            <w:r>
              <w:rPr>
                <w:rFonts w:hint="eastAsia"/>
                <w:lang w:eastAsia="zh-CN"/>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lang w:val="en-US" w:eastAsia="zh-CN"/>
              </w:rPr>
              <w:t xml:space="preserve"> </w:t>
            </w:r>
            <w:r>
              <w:rPr>
                <w:rFonts w:hint="eastAsia"/>
                <w:u w:val="single"/>
                <w:lang w:val="en-US" w:eastAsia="zh-CN"/>
              </w:rPr>
              <w:t xml:space="preserve">                                     </w:t>
            </w:r>
          </w:p>
          <w:p>
            <w:pPr>
              <w:shd w:val="clear" w:color="auto"/>
            </w:pPr>
          </w:p>
          <w:p>
            <w:pPr>
              <w:shd w:val="clear" w:color="auto"/>
            </w:pPr>
            <w:r>
              <w:rPr>
                <w:rFonts w:hint="eastAsia"/>
              </w:rPr>
              <w:t>对FSMS和产品相关的运行记录进行了保留、储存、保护、检索查询、处置等管理。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restart"/>
            <w:shd w:val="clear" w:color="auto" w:fill="auto"/>
          </w:tcPr>
          <w:p>
            <w:pPr>
              <w:shd w:val="clear" w:color="auto"/>
            </w:pPr>
            <w:r>
              <w:rPr>
                <w:rFonts w:hint="eastAsia"/>
              </w:rPr>
              <w:t>运行</w:t>
            </w:r>
          </w:p>
        </w:tc>
        <w:tc>
          <w:tcPr>
            <w:tcW w:w="9634" w:type="dxa"/>
            <w:shd w:val="clear" w:color="auto" w:fill="auto"/>
          </w:tcPr>
          <w:p>
            <w:pPr>
              <w:shd w:val="clear" w:color="auto"/>
            </w:pPr>
            <w:r>
              <w:rPr>
                <w:rFonts w:hint="eastAsia"/>
              </w:rPr>
              <w:t>组织为对安全产品和服务提供满足的要求，已对产品和服务提供的过程（见4.4）进行策划、实施和控制。策划文件包括：</w:t>
            </w:r>
          </w:p>
          <w:p>
            <w:pPr>
              <w:shd w:val="clear" w:color="auto"/>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ind w:firstLine="210" w:firstLineChars="100"/>
            </w:pPr>
            <w:r>
              <w:rPr>
                <w:rFonts w:hint="eastAsia"/>
              </w:rPr>
              <w:t>☑</w:t>
            </w:r>
            <w:r>
              <w:rPr>
                <w:rFonts w:hint="eastAsia"/>
                <w:lang w:val="en-US" w:eastAsia="zh-CN"/>
              </w:rPr>
              <w:t>前</w:t>
            </w:r>
            <w:r>
              <w:rPr>
                <w:rFonts w:hint="eastAsia"/>
              </w:rPr>
              <w:t xml:space="preserve">提方案 ☑操作性前提方案 ☑HACCP计划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组织建立、实施、保持和更新PRP，以便于防止和/或减少产品、产品加工和工作环境中的污染物（包括食品安全危害）。</w:t>
            </w:r>
          </w:p>
          <w:p>
            <w:pPr>
              <w:shd w:val="clear" w:color="auto"/>
            </w:pPr>
            <w:r>
              <w:rPr>
                <w:rFonts w:hint="eastAsia"/>
              </w:rPr>
              <w:t>组织的《前提方案》时参照法规：</w:t>
            </w:r>
          </w:p>
          <w:p>
            <w:pPr>
              <w:shd w:val="clear" w:color="auto"/>
              <w:rPr>
                <w:rFonts w:hint="eastAsia"/>
                <w:color w:val="000000"/>
                <w:sz w:val="21"/>
                <w:szCs w:val="21"/>
                <w:u w:val="single"/>
                <w:lang w:val="en-US" w:eastAsia="zh-CN"/>
              </w:rPr>
            </w:pPr>
            <w:r>
              <w:rPr>
                <w:rFonts w:hint="eastAsia"/>
              </w:rPr>
              <w:t>☑</w:t>
            </w:r>
            <w:r>
              <w:rPr>
                <w:rFonts w:hint="eastAsia"/>
                <w:color w:val="000000"/>
                <w:sz w:val="21"/>
                <w:szCs w:val="21"/>
                <w:u w:val="single"/>
              </w:rPr>
              <w:t xml:space="preserve">  GB13122</w:t>
            </w:r>
            <w:r>
              <w:rPr>
                <w:rFonts w:hint="eastAsia"/>
                <w:color w:val="000000"/>
                <w:sz w:val="21"/>
                <w:szCs w:val="21"/>
                <w:u w:val="single"/>
                <w:lang w:val="en-US" w:eastAsia="zh-CN"/>
              </w:rPr>
              <w:t>-</w:t>
            </w:r>
            <w:r>
              <w:rPr>
                <w:rFonts w:hint="eastAsia"/>
                <w:color w:val="000000"/>
                <w:sz w:val="21"/>
                <w:szCs w:val="21"/>
                <w:u w:val="single"/>
              </w:rPr>
              <w:t>2016</w:t>
            </w:r>
            <w:r>
              <w:rPr>
                <w:rFonts w:hint="eastAsia"/>
                <w:color w:val="000000"/>
                <w:sz w:val="21"/>
                <w:szCs w:val="21"/>
                <w:u w:val="single"/>
                <w:lang w:val="en-US" w:eastAsia="zh-CN"/>
              </w:rPr>
              <w:t xml:space="preserve"> 《食品安全国家标准 谷物加工卫生规范》</w:t>
            </w:r>
            <w:r>
              <w:rPr>
                <w:rFonts w:hint="eastAsia"/>
                <w:color w:val="000000"/>
                <w:sz w:val="21"/>
                <w:szCs w:val="21"/>
                <w:u w:val="single"/>
              </w:rPr>
              <w:t xml:space="preserve">  </w:t>
            </w:r>
            <w:r>
              <w:rPr>
                <w:rFonts w:hint="eastAsia"/>
                <w:color w:val="000000"/>
                <w:sz w:val="21"/>
                <w:szCs w:val="21"/>
                <w:u w:val="single"/>
                <w:lang w:val="en-US" w:eastAsia="zh-CN"/>
              </w:rPr>
              <w:t xml:space="preserve"> </w:t>
            </w:r>
          </w:p>
          <w:p>
            <w:pPr>
              <w:shd w:val="clear" w:color="auto"/>
            </w:pPr>
            <w:r>
              <w:rPr>
                <w:rFonts w:hint="eastAsia"/>
                <w:lang w:eastAsia="zh-CN"/>
              </w:rPr>
              <w:sym w:font="Wingdings 2" w:char="0052"/>
            </w:r>
            <w:r>
              <w:rPr>
                <w:rFonts w:hint="eastAsia"/>
              </w:rPr>
              <w:t xml:space="preserve"> 行业相关规范：</w:t>
            </w:r>
          </w:p>
          <w:p>
            <w:pPr>
              <w:shd w:val="clear" w:color="auto"/>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pPr>
            <w:r>
              <w:t>a) 建筑物和相关设施的构造与布局；</w:t>
            </w:r>
            <w:r>
              <w:rPr>
                <w:rFonts w:hint="eastAsia"/>
              </w:rPr>
              <w:t xml:space="preserve">                          ☑有   </w:t>
            </w:r>
            <w:r>
              <w:rPr>
                <w:rFonts w:hint="eastAsia"/>
              </w:rPr>
              <w:sym w:font="Wingdings" w:char="00A8"/>
            </w:r>
            <w:r>
              <w:rPr>
                <w:rFonts w:hint="eastAsia"/>
              </w:rPr>
              <w:t>无</w:t>
            </w:r>
          </w:p>
          <w:p>
            <w:pPr>
              <w:shd w:val="clear" w:color="auto"/>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pPr>
            <w:r>
              <w:t>g) 来料的接收、储存、发运、运输和产品的搬运；</w:t>
            </w:r>
            <w:r>
              <w:rPr>
                <w:rFonts w:hint="eastAsia"/>
              </w:rPr>
              <w:t xml:space="preserve">              ☑有   </w:t>
            </w:r>
            <w:r>
              <w:rPr>
                <w:rFonts w:hint="eastAsia"/>
              </w:rPr>
              <w:sym w:font="Wingdings" w:char="00A8"/>
            </w:r>
            <w:r>
              <w:rPr>
                <w:rFonts w:hint="eastAsia"/>
              </w:rPr>
              <w:t>无</w:t>
            </w:r>
          </w:p>
          <w:p>
            <w:pPr>
              <w:shd w:val="clear" w:color="auto"/>
            </w:pPr>
            <w:r>
              <w:t>h) 防止交叉污染的措施；</w:t>
            </w:r>
            <w:r>
              <w:rPr>
                <w:rFonts w:hint="eastAsia"/>
              </w:rPr>
              <w:t xml:space="preserve">                                     ☑有   </w:t>
            </w:r>
            <w:r>
              <w:rPr>
                <w:rFonts w:hint="eastAsia"/>
              </w:rPr>
              <w:sym w:font="Wingdings" w:char="00A8"/>
            </w:r>
            <w:r>
              <w:rPr>
                <w:rFonts w:hint="eastAsia"/>
              </w:rPr>
              <w:t>无</w:t>
            </w:r>
          </w:p>
          <w:p>
            <w:pPr>
              <w:shd w:val="clear" w:color="auto"/>
            </w:pPr>
            <w:r>
              <w:t>i) 清洁和消毒；</w:t>
            </w:r>
            <w:r>
              <w:rPr>
                <w:rFonts w:hint="eastAsia"/>
              </w:rPr>
              <w:t xml:space="preserve">                                            ☑有   </w:t>
            </w:r>
            <w:r>
              <w:rPr>
                <w:rFonts w:hint="eastAsia"/>
              </w:rPr>
              <w:sym w:font="Wingdings" w:char="00A8"/>
            </w:r>
            <w:r>
              <w:rPr>
                <w:rFonts w:hint="eastAsia"/>
              </w:rPr>
              <w:t>无</w:t>
            </w:r>
          </w:p>
          <w:p>
            <w:pPr>
              <w:shd w:val="clear" w:color="auto"/>
            </w:pPr>
            <w:r>
              <w:t>j) 人员卫生；</w:t>
            </w:r>
            <w:r>
              <w:rPr>
                <w:rFonts w:hint="eastAsia"/>
              </w:rPr>
              <w:t xml:space="preserve">                                               ☑有   </w:t>
            </w:r>
            <w:r>
              <w:rPr>
                <w:rFonts w:hint="eastAsia"/>
              </w:rPr>
              <w:sym w:font="Wingdings" w:char="00A8"/>
            </w:r>
            <w:r>
              <w:rPr>
                <w:rFonts w:hint="eastAsia"/>
              </w:rPr>
              <w:t>无</w:t>
            </w:r>
          </w:p>
          <w:p>
            <w:pPr>
              <w:shd w:val="clear" w:color="auto"/>
            </w:pPr>
            <w:r>
              <w:t>k) 产品信息/消费者意识；</w:t>
            </w:r>
            <w:r>
              <w:rPr>
                <w:rFonts w:hint="eastAsia"/>
              </w:rPr>
              <w:t xml:space="preserve">                                    ☑有   </w:t>
            </w:r>
            <w:r>
              <w:rPr>
                <w:rFonts w:hint="eastAsia"/>
              </w:rPr>
              <w:sym w:font="Wingdings" w:char="00A8"/>
            </w:r>
            <w:r>
              <w:rPr>
                <w:rFonts w:hint="eastAsia"/>
              </w:rPr>
              <w:t>无</w:t>
            </w:r>
          </w:p>
          <w:p>
            <w:pPr>
              <w:shd w:val="clear" w:color="auto"/>
            </w:pPr>
            <w:r>
              <w:t>l) 其他有关方面。</w:t>
            </w:r>
            <w:r>
              <w:rPr>
                <w:rFonts w:hint="eastAsia"/>
              </w:rPr>
              <w:t xml:space="preserve">                                           ☑有   </w:t>
            </w:r>
            <w:r>
              <w:rPr>
                <w:rFonts w:hint="eastAsia"/>
              </w:rPr>
              <w:sym w:font="Wingdings" w:char="00A8"/>
            </w:r>
            <w:r>
              <w:rPr>
                <w:rFonts w:hint="eastAsia"/>
              </w:rPr>
              <w:t>无</w:t>
            </w:r>
          </w:p>
          <w:p>
            <w:pPr>
              <w:shd w:val="clear" w:color="auto"/>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pPr>
            <w:r>
              <w:t>a）唯一地识别来自供应商的来料</w:t>
            </w:r>
            <w:r>
              <w:rPr>
                <w:rFonts w:hint="eastAsia"/>
              </w:rPr>
              <w:t xml:space="preserve">                     ☑是   </w:t>
            </w:r>
            <w:r>
              <w:rPr>
                <w:rFonts w:hint="eastAsia"/>
              </w:rPr>
              <w:sym w:font="Wingdings" w:char="00A8"/>
            </w:r>
            <w:r>
              <w:rPr>
                <w:rFonts w:hint="eastAsia"/>
              </w:rPr>
              <w:t>否</w:t>
            </w:r>
          </w:p>
          <w:p>
            <w:pPr>
              <w:shd w:val="clear" w:color="auto"/>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pPr>
            <w:r>
              <w:t>c）材料/产品的返工</w:t>
            </w:r>
            <w:r>
              <w:rPr>
                <w:rFonts w:hint="eastAsia"/>
              </w:rPr>
              <w:t xml:space="preserve">                                ☑是   </w:t>
            </w:r>
            <w:r>
              <w:rPr>
                <w:rFonts w:hint="eastAsia"/>
              </w:rPr>
              <w:sym w:font="Wingdings" w:char="00A8"/>
            </w:r>
            <w:r>
              <w:rPr>
                <w:rFonts w:hint="eastAsia"/>
              </w:rPr>
              <w:t>否</w:t>
            </w:r>
          </w:p>
          <w:p>
            <w:pPr>
              <w:shd w:val="clear" w:color="auto"/>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rPr>
                <w:rFonts w:hint="eastAsia"/>
                <w:lang w:val="en-US" w:eastAsia="zh-CN"/>
              </w:rPr>
            </w:pPr>
            <w:r>
              <w:rPr>
                <w:rFonts w:hint="eastAsia"/>
              </w:rPr>
              <w:t xml:space="preserve">组织的产品保质期为 </w:t>
            </w:r>
            <w:r>
              <w:rPr>
                <w:rFonts w:hint="eastAsia"/>
                <w:u w:val="single"/>
              </w:rPr>
              <w:t xml:space="preserve">   </w:t>
            </w:r>
            <w:r>
              <w:rPr>
                <w:rFonts w:hint="eastAsia"/>
                <w:color w:val="0000FF"/>
                <w:u w:val="single"/>
                <w:lang w:val="en-US" w:eastAsia="zh-CN"/>
              </w:rPr>
              <w:t>6</w:t>
            </w:r>
            <w:r>
              <w:rPr>
                <w:rFonts w:hint="eastAsia"/>
                <w:u w:val="single"/>
              </w:rPr>
              <w:t xml:space="preserve"> </w:t>
            </w:r>
            <w:r>
              <w:rPr>
                <w:rFonts w:hint="eastAsia"/>
              </w:rPr>
              <w:t>个</w:t>
            </w:r>
            <w:r>
              <w:rPr>
                <w:rFonts w:hint="eastAsia"/>
                <w:lang w:val="en-US" w:eastAsia="zh-CN"/>
              </w:rPr>
              <w:t>月</w:t>
            </w:r>
          </w:p>
          <w:p>
            <w:pPr>
              <w:shd w:val="clear" w:color="auto"/>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color w:val="0000FF"/>
                <w:u w:val="single"/>
                <w:lang w:val="en-US" w:eastAsia="zh-CN"/>
              </w:rPr>
              <w:t xml:space="preserve">24  </w:t>
            </w:r>
            <w:r>
              <w:rPr>
                <w:rFonts w:hint="eastAsia"/>
              </w:rPr>
              <w:t>个月</w:t>
            </w:r>
            <w:r>
              <w:t>。</w:t>
            </w:r>
          </w:p>
          <w:p>
            <w:pPr>
              <w:shd w:val="clear" w:color="auto"/>
            </w:pPr>
            <w:r>
              <w:t>组织</w:t>
            </w:r>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pPr>
              <w:shd w:val="clear" w:color="auto"/>
              <w:jc w:val="left"/>
            </w:pPr>
            <w:r>
              <w:rPr>
                <w:rFonts w:hint="eastAsia"/>
              </w:rPr>
              <w:t>组织在生产和服务提供的整个过程中对产品和监视和测量状态进行标识和追溯。</w:t>
            </w:r>
          </w:p>
          <w:p>
            <w:pPr>
              <w:shd w:val="clear" w:color="auto"/>
              <w:jc w:val="left"/>
            </w:pPr>
            <w:r>
              <w:rPr>
                <w:rFonts w:hint="eastAsia"/>
              </w:rPr>
              <w:t xml:space="preserve">采用的标识方式：☑标签 </w:t>
            </w:r>
            <w:r>
              <w:rPr>
                <w:rFonts w:hint="eastAsia"/>
                <w:lang w:eastAsia="zh-CN"/>
              </w:rPr>
              <w:t>□</w:t>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pPr>
              <w:shd w:val="clear" w:color="auto"/>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rPr>
                <w:b/>
                <w:bCs/>
              </w:rPr>
            </w:pPr>
            <w:r>
              <w:rPr>
                <w:rFonts w:hint="eastAsia"/>
                <w:b/>
                <w:bCs/>
              </w:rPr>
              <w:t>应急准备和响应</w:t>
            </w:r>
          </w:p>
          <w:p>
            <w:pPr>
              <w:shd w:val="clear"/>
            </w:pPr>
            <w:r>
              <w:rPr>
                <w:rFonts w:hint="eastAsia"/>
              </w:rPr>
              <w:t xml:space="preserve">组织识别了食品安全的潜在紧急情况和事故及应急准备并做出响应所需的过程。对实际发生的紧急情况做出响应；以预防或减轻它所带来的食品安全危害； </w:t>
            </w:r>
          </w:p>
          <w:p>
            <w:pPr>
              <w:shd w:val="clear"/>
            </w:pPr>
            <w:r>
              <w:rPr>
                <w:rFonts w:hint="eastAsia"/>
              </w:rPr>
              <w:t>制订的《应急预案》包括：</w:t>
            </w:r>
          </w:p>
          <w:p>
            <w:pPr>
              <w:shd w:val="clear"/>
            </w:pPr>
            <w:r>
              <w:rPr>
                <w:rFonts w:hint="eastAsia"/>
              </w:rPr>
              <w:sym w:font="Wingdings" w:char="00A8"/>
            </w:r>
            <w:r>
              <w:rPr>
                <w:rFonts w:hint="eastAsia"/>
              </w:rPr>
              <w:t xml:space="preserve">停水 </w:t>
            </w:r>
            <w:r>
              <w:rPr>
                <w:rFonts w:hint="eastAsia"/>
              </w:rPr>
              <w:sym w:font="Wingdings" w:char="00FE"/>
            </w:r>
            <w:r>
              <w:rPr>
                <w:rFonts w:hint="eastAsia"/>
              </w:rPr>
              <w:t xml:space="preserve">停电 </w:t>
            </w:r>
            <w:r>
              <w:rPr>
                <w:rFonts w:hint="eastAsia"/>
              </w:rPr>
              <w:sym w:font="Wingdings" w:char="00A8"/>
            </w:r>
            <w:r>
              <w:rPr>
                <w:rFonts w:hint="eastAsia"/>
              </w:rPr>
              <w:t xml:space="preserve">制冷骤停 </w:t>
            </w:r>
            <w:r>
              <w:rPr>
                <w:rFonts w:hint="eastAsia"/>
              </w:rPr>
              <w:sym w:font="Wingdings" w:char="00A8"/>
            </w:r>
            <w:r>
              <w:rPr>
                <w:rFonts w:hint="eastAsia"/>
              </w:rPr>
              <w:t xml:space="preserve">锅炉爆炸（停汽） </w:t>
            </w:r>
            <w:r>
              <w:rPr>
                <w:rFonts w:hint="eastAsia"/>
              </w:rPr>
              <w:sym w:font="Wingdings" w:char="00FE"/>
            </w:r>
            <w:r>
              <w:rPr>
                <w:rFonts w:hint="eastAsia"/>
              </w:rPr>
              <w:t xml:space="preserve">设备故障 ☑火灾 </w:t>
            </w:r>
            <w:r>
              <w:rPr>
                <w:rFonts w:hint="eastAsia"/>
              </w:rPr>
              <w:sym w:font="Wingdings" w:char="00A8"/>
            </w:r>
            <w:r>
              <w:rPr>
                <w:rFonts w:hint="eastAsia"/>
              </w:rPr>
              <w:t xml:space="preserve">危化品泄露 </w:t>
            </w:r>
          </w:p>
          <w:p>
            <w:pPr>
              <w:shd w:val="clear"/>
            </w:pPr>
            <w:r>
              <w:rPr>
                <w:rFonts w:hint="eastAsia"/>
              </w:rPr>
              <w:sym w:font="Wingdings" w:char="00FE"/>
            </w:r>
            <w:r>
              <w:rPr>
                <w:rFonts w:hint="eastAsia"/>
              </w:rPr>
              <w:t>自然灾害、</w:t>
            </w:r>
            <w:r>
              <w:rPr>
                <w:rFonts w:hint="eastAsia"/>
              </w:rPr>
              <w:sym w:font="Wingdings" w:char="00FE"/>
            </w:r>
            <w:r>
              <w:rPr>
                <w:rFonts w:hint="eastAsia"/>
              </w:rPr>
              <w:t>环境事故、</w:t>
            </w:r>
            <w:r>
              <w:rPr>
                <w:rFonts w:hint="eastAsia"/>
              </w:rPr>
              <w:sym w:font="Wingdings" w:char="00A8"/>
            </w:r>
            <w:r>
              <w:rPr>
                <w:rFonts w:hint="eastAsia"/>
              </w:rPr>
              <w:t>生物恐怖主义、☑工作场所事故、</w:t>
            </w:r>
            <w:r>
              <w:rPr>
                <w:rFonts w:hint="eastAsia"/>
              </w:rPr>
              <w:sym w:font="Wingdings" w:char="00FE"/>
            </w:r>
            <w:r>
              <w:rPr>
                <w:rFonts w:hint="eastAsia"/>
              </w:rPr>
              <w:t>公共卫生紧急情况</w:t>
            </w:r>
          </w:p>
          <w:p>
            <w:pPr>
              <w:shd w:val="clear"/>
              <w:rPr>
                <w:rFonts w:hint="eastAsia"/>
              </w:rPr>
            </w:pPr>
            <w:r>
              <w:rPr>
                <w:rFonts w:hint="eastAsia"/>
              </w:rPr>
              <w:sym w:font="Wingdings" w:char="00FE"/>
            </w:r>
            <w:r>
              <w:rPr>
                <w:rFonts w:hint="eastAsia"/>
                <w:lang w:val="en-US" w:eastAsia="zh-CN"/>
              </w:rPr>
              <w:t>交通</w:t>
            </w:r>
            <w:r>
              <w:rPr>
                <w:rFonts w:hint="eastAsia"/>
              </w:rPr>
              <w:t>事故</w:t>
            </w:r>
          </w:p>
          <w:p>
            <w:pPr>
              <w:pStyle w:val="2"/>
              <w:rPr>
                <w:rFonts w:hint="eastAsia"/>
              </w:rPr>
            </w:pPr>
          </w:p>
          <w:p>
            <w:pPr>
              <w:shd w:val="clear"/>
            </w:pPr>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Pr>
              <w:shd w:val="clear"/>
            </w:pPr>
          </w:p>
          <w:p>
            <w:pPr>
              <w:shd w:val="clear"/>
            </w:pPr>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25-26</w:t>
            </w:r>
            <w:r>
              <w:rPr>
                <w:rFonts w:hint="eastAsia"/>
                <w:u w:val="single"/>
              </w:rPr>
              <w:t xml:space="preserve"> </w:t>
            </w:r>
            <w:r>
              <w:rPr>
                <w:rFonts w:hint="eastAsia"/>
              </w:rPr>
              <w:t>日进行了</w:t>
            </w:r>
            <w:r>
              <w:rPr>
                <w:rFonts w:hint="eastAsia"/>
                <w:u w:val="single"/>
              </w:rPr>
              <w:t xml:space="preserve">   物体打击紧急演练 </w:t>
            </w:r>
            <w:r>
              <w:rPr>
                <w:rFonts w:hint="eastAsia"/>
                <w:u w:val="single"/>
                <w:lang w:val="en-US" w:eastAsia="zh-CN"/>
              </w:rPr>
              <w:t>\</w:t>
            </w:r>
            <w:r>
              <w:rPr>
                <w:rFonts w:hint="eastAsia"/>
                <w:u w:val="single"/>
              </w:rPr>
              <w:t xml:space="preserve">火灾事故紧急演练 </w:t>
            </w:r>
            <w:r>
              <w:rPr>
                <w:rFonts w:hint="eastAsia"/>
                <w:color w:val="0000FF"/>
                <w:u w:val="single"/>
                <w:lang w:val="en-US" w:eastAsia="zh-CN"/>
              </w:rPr>
              <w:t xml:space="preserve"> </w:t>
            </w:r>
            <w:r>
              <w:rPr>
                <w:rFonts w:hint="eastAsia"/>
                <w:u w:val="single"/>
              </w:rPr>
              <w:t xml:space="preserve">  </w:t>
            </w:r>
            <w:r>
              <w:rPr>
                <w:rFonts w:hint="eastAsia"/>
              </w:rPr>
              <w:t xml:space="preserve">的演练；并总结了预案的可行性和有效性。 </w:t>
            </w:r>
          </w:p>
          <w:p>
            <w:pPr>
              <w:shd w:val="clear"/>
            </w:pPr>
            <w:r>
              <w:rPr>
                <w:rFonts w:hint="eastAsia"/>
              </w:rPr>
              <w:t xml:space="preserve">定期评审并修订过程和策划的响应措施，特别是发生紧急情况后或进行试验后； </w:t>
            </w:r>
          </w:p>
          <w:p>
            <w:pPr>
              <w:shd w:val="clear"/>
            </w:pPr>
          </w:p>
          <w:p>
            <w:pPr>
              <w:shd w:val="clear" w:color="auto"/>
            </w:pPr>
            <w:r>
              <w:rPr>
                <w:rFonts w:hint="eastAsia"/>
              </w:rPr>
              <w:t xml:space="preserve">应急准备和响应控制：☑符合要求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t>为进行危害分析，食品安全小组收集、保持和更新初步形成文件的信息。包括：</w:t>
            </w:r>
          </w:p>
          <w:p>
            <w:pPr>
              <w:shd w:val="clear" w:color="auto"/>
            </w:pPr>
            <w:r>
              <w:rPr>
                <w:rFonts w:hint="eastAsia"/>
              </w:rPr>
              <w:t>☑</w:t>
            </w:r>
            <w:r>
              <w:t>适用的法律、法规和客户要求；</w:t>
            </w:r>
          </w:p>
          <w:p>
            <w:pPr>
              <w:shd w:val="clear" w:color="auto"/>
            </w:pPr>
            <w:r>
              <w:rPr>
                <w:rFonts w:hint="eastAsia"/>
              </w:rPr>
              <w:t>☑</w:t>
            </w:r>
            <w:r>
              <w:t xml:space="preserve"> 组织的产品、过程和设备；</w:t>
            </w:r>
          </w:p>
          <w:p>
            <w:pPr>
              <w:shd w:val="clear" w:color="auto"/>
            </w:pPr>
            <w:r>
              <w:rPr>
                <w:rFonts w:hint="eastAsia"/>
              </w:rPr>
              <w:t>☑</w:t>
            </w:r>
            <w:r>
              <w:t xml:space="preserve"> 与食品安全管理体系相关的食品安全危害。</w:t>
            </w:r>
          </w:p>
          <w:p>
            <w:pPr>
              <w:shd w:val="clear" w:color="auto"/>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rPr>
                <w:b/>
                <w:bCs/>
              </w:rPr>
            </w:pPr>
            <w:r>
              <w:rPr>
                <w:rFonts w:hint="eastAsia"/>
                <w:b/>
                <w:bCs/>
              </w:rPr>
              <w:t>原材料产品描述</w:t>
            </w:r>
          </w:p>
          <w:p>
            <w:pPr>
              <w:shd w:val="clear"/>
            </w:pPr>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7"/>
              </w:numPr>
              <w:shd w:val="clear"/>
              <w:rPr>
                <w:rFonts w:hint="eastAsia" w:eastAsia="宋体"/>
                <w:lang w:eastAsia="zh-CN"/>
              </w:rPr>
            </w:pPr>
            <w:r>
              <w:rPr>
                <w:rFonts w:hint="eastAsia"/>
                <w:lang w:val="en-US" w:eastAsia="zh-CN"/>
              </w:rPr>
              <w:t>稻谷</w:t>
            </w:r>
          </w:p>
          <w:p>
            <w:pPr>
              <w:numPr>
                <w:ilvl w:val="0"/>
                <w:numId w:val="7"/>
              </w:numPr>
              <w:shd w:val="clear"/>
              <w:rPr>
                <w:rFonts w:hint="eastAsia" w:eastAsia="宋体"/>
                <w:lang w:eastAsia="zh-CN"/>
              </w:rPr>
            </w:pPr>
            <w:r>
              <w:rPr>
                <w:rFonts w:hint="eastAsia"/>
                <w:lang w:val="en-US" w:eastAsia="zh-CN"/>
              </w:rPr>
              <w:t>内包装材料</w:t>
            </w:r>
          </w:p>
          <w:p>
            <w:pPr>
              <w:numPr>
                <w:ilvl w:val="0"/>
                <w:numId w:val="7"/>
              </w:numPr>
              <w:shd w:val="clear"/>
              <w:rPr>
                <w:rFonts w:hint="eastAsia" w:eastAsia="宋体"/>
                <w:lang w:eastAsia="zh-CN"/>
              </w:rPr>
            </w:pPr>
            <w:r>
              <w:rPr>
                <w:rFonts w:hint="eastAsia"/>
                <w:lang w:val="en-US" w:eastAsia="zh-CN"/>
              </w:rPr>
              <w:t>加工用水</w:t>
            </w:r>
          </w:p>
          <w:p>
            <w:pPr>
              <w:numPr>
                <w:ilvl w:val="0"/>
                <w:numId w:val="7"/>
              </w:numPr>
              <w:shd w:val="clea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rPr>
                <w:b/>
                <w:bCs/>
              </w:rPr>
            </w:pPr>
            <w:r>
              <w:rPr>
                <w:rFonts w:hint="eastAsia"/>
                <w:b/>
                <w:bCs/>
              </w:rPr>
              <w:t>终产品描述</w:t>
            </w:r>
          </w:p>
          <w:p>
            <w:pPr>
              <w:shd w:val="clear"/>
            </w:pPr>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7"/>
              </w:numPr>
              <w:shd w:val="clear"/>
              <w:rPr>
                <w:rFonts w:hint="eastAsia" w:eastAsia="宋体"/>
                <w:lang w:eastAsia="zh-CN"/>
              </w:rPr>
            </w:pPr>
            <w:r>
              <w:rPr>
                <w:rFonts w:hint="eastAsia"/>
                <w:bCs/>
                <w:lang w:val="en-US" w:eastAsia="zh-CN"/>
              </w:rPr>
              <w:t>大米</w:t>
            </w:r>
          </w:p>
          <w:p>
            <w:pPr>
              <w:numPr>
                <w:ilvl w:val="0"/>
                <w:numId w:val="7"/>
              </w:numPr>
              <w:shd w:val="clea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autoSpaceDE w:val="0"/>
              <w:autoSpaceDN w:val="0"/>
              <w:adjustRightInd w:val="0"/>
              <w:rPr>
                <w:b/>
                <w:bCs/>
              </w:rPr>
            </w:pPr>
            <w:r>
              <w:rPr>
                <w:rFonts w:hint="eastAsia"/>
                <w:b/>
                <w:bCs/>
              </w:rPr>
              <w:t>预期用途</w:t>
            </w:r>
          </w:p>
          <w:p>
            <w:pPr>
              <w:shd w:val="clear"/>
              <w:autoSpaceDE w:val="0"/>
              <w:autoSpaceDN w:val="0"/>
              <w:adjustRightInd w:val="0"/>
              <w:rPr>
                <w:color w:val="0000FF"/>
              </w:rPr>
            </w:pPr>
            <w:r>
              <w:rPr>
                <w:rFonts w:hint="eastAsia"/>
              </w:rPr>
              <w:t>组织的</w:t>
            </w:r>
            <w:r>
              <w:t>产品预期用途</w:t>
            </w:r>
            <w:r>
              <w:rPr>
                <w:rFonts w:hint="eastAsia"/>
              </w:rPr>
              <w:t xml:space="preserve">为 </w:t>
            </w:r>
            <w:r>
              <w:rPr>
                <w:rFonts w:hint="eastAsia"/>
                <w:color w:val="0000FF"/>
                <w:u w:val="single"/>
              </w:rPr>
              <w:t xml:space="preserve"> </w:t>
            </w:r>
            <w:r>
              <w:rPr>
                <w:rFonts w:hint="eastAsia"/>
                <w:color w:val="0000FF"/>
                <w:u w:val="single"/>
                <w:lang w:val="en-US" w:eastAsia="zh-CN"/>
              </w:rPr>
              <w:t>大众食用</w:t>
            </w:r>
            <w:r>
              <w:rPr>
                <w:rFonts w:hint="eastAsia"/>
                <w:color w:val="0000FF"/>
                <w:u w:val="single"/>
              </w:rPr>
              <w:t xml:space="preserve"> </w:t>
            </w:r>
            <w:r>
              <w:rPr>
                <w:rFonts w:hint="eastAsia"/>
                <w:color w:val="0000FF"/>
              </w:rPr>
              <w:t xml:space="preserve"> </w:t>
            </w:r>
          </w:p>
          <w:p>
            <w:pPr>
              <w:shd w:val="clear" w:color="auto"/>
            </w:pPr>
            <w:r>
              <w:t>食品安全危害易感消费群体/使用者</w:t>
            </w:r>
            <w:r>
              <w:rPr>
                <w:rFonts w:hint="eastAsia"/>
              </w:rPr>
              <w:t>为：</w:t>
            </w:r>
            <w:r>
              <w:rPr>
                <w:rFonts w:hint="eastAsia"/>
                <w:color w:val="0000FF"/>
                <w:u w:val="single"/>
              </w:rPr>
              <w:t xml:space="preserve"> </w:t>
            </w:r>
            <w:r>
              <w:rPr>
                <w:rFonts w:hint="eastAsia"/>
                <w:color w:val="0000FF"/>
                <w:u w:val="single"/>
                <w:lang w:eastAsia="zh-CN"/>
              </w:rPr>
              <w:t>——</w:t>
            </w:r>
            <w:r>
              <w:rPr>
                <w:rFonts w:hint="eastAsia"/>
                <w:color w:val="0000FF"/>
                <w:u w:val="single"/>
              </w:rPr>
              <w:t xml:space="preserve">                                                 </w:t>
            </w:r>
            <w:r>
              <w:rPr>
                <w:rFonts w:hint="eastAsia"/>
                <w:color w:val="0000FF"/>
              </w:rPr>
              <w:t xml:space="preserve"> </w:t>
            </w:r>
          </w:p>
          <w:p>
            <w:pPr>
              <w:shd w:val="clear" w:color="auto"/>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lang w:eastAsia="zh-CN"/>
              </w:rPr>
              <w:t>□</w:t>
            </w:r>
            <w:r>
              <w:rPr>
                <w:rFonts w:hint="eastAsia"/>
              </w:rPr>
              <w:t xml:space="preserve">易过敏人群    </w:t>
            </w:r>
            <w:r>
              <w:rPr>
                <w:rFonts w:hint="eastAsia"/>
              </w:rPr>
              <w:sym w:font="Wingdings" w:char="00A8"/>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t>食品安全小组建立、保持和更新流程图，作为FSMS涵盖的产品或产品类别和过程的文件化信息。</w:t>
            </w:r>
          </w:p>
          <w:p>
            <w:pPr>
              <w:shd w:val="clear"/>
              <w:autoSpaceDE w:val="0"/>
              <w:autoSpaceDN w:val="0"/>
              <w:adjustRightInd w:val="0"/>
              <w:rPr>
                <w:b/>
              </w:rPr>
            </w:pPr>
            <w:r>
              <w:rPr>
                <w:rFonts w:hint="eastAsia"/>
                <w:b/>
              </w:rPr>
              <w:t>流程图的制定</w:t>
            </w:r>
          </w:p>
          <w:p>
            <w:pPr>
              <w:widowControl/>
              <w:numPr>
                <w:ilvl w:val="0"/>
                <w:numId w:val="8"/>
              </w:numPr>
              <w:shd w:val="clear"/>
              <w:spacing w:before="40" w:after="40"/>
            </w:pPr>
            <w:r>
              <w:t>工艺流程图包括</w:t>
            </w:r>
            <w:r>
              <w:rPr>
                <w:rFonts w:hint="eastAsia"/>
              </w:rPr>
              <w:t>了</w:t>
            </w:r>
            <w:r>
              <w:t>：</w:t>
            </w:r>
          </w:p>
          <w:p>
            <w:pPr>
              <w:shd w:val="clear" w:color="auto"/>
            </w:pPr>
            <w:r>
              <w:t>a） 操作步骤的顺序和相互作用</w:t>
            </w:r>
            <w:r>
              <w:rPr>
                <w:rFonts w:hint="eastAsia"/>
              </w:rPr>
              <w:t>（</w:t>
            </w:r>
            <w:r>
              <w:t>加工设备及接触材料、加工助剂及材料流向</w:t>
            </w:r>
            <w:r>
              <w:rPr>
                <w:rFonts w:hint="eastAsia"/>
              </w:rPr>
              <w:t>）</w:t>
            </w:r>
            <w:r>
              <w:t>；</w:t>
            </w:r>
          </w:p>
          <w:p>
            <w:pPr>
              <w:shd w:val="clear"/>
            </w:pPr>
            <w:r>
              <w:t>b） 任何外包过程；</w:t>
            </w:r>
            <w:r>
              <w:rPr>
                <w:rFonts w:hint="eastAsia"/>
                <w:lang w:eastAsia="zh-CN"/>
              </w:rPr>
              <w:t>（</w:t>
            </w:r>
            <w:r>
              <w:rPr>
                <w:rFonts w:hint="eastAsia"/>
                <w:lang w:val="en-US" w:eastAsia="zh-CN"/>
              </w:rPr>
              <w:t>不适用</w:t>
            </w:r>
            <w:r>
              <w:rPr>
                <w:rFonts w:hint="eastAsia"/>
                <w:lang w:eastAsia="zh-CN"/>
              </w:rPr>
              <w:t>）</w:t>
            </w:r>
          </w:p>
          <w:p>
            <w:pPr>
              <w:shd w:val="clear" w:color="auto"/>
            </w:pPr>
            <w:r>
              <w:t>c） 原材料、辅料、加工助剂、包装材料、公用工程和和中间产品投入点；</w:t>
            </w:r>
          </w:p>
          <w:p>
            <w:pPr>
              <w:shd w:val="clear" w:color="auto"/>
            </w:pPr>
            <w:r>
              <w:t>d） 返工点和循环点；</w:t>
            </w:r>
          </w:p>
          <w:p>
            <w:pPr>
              <w:shd w:val="clear" w:color="auto"/>
            </w:pPr>
            <w:r>
              <w:t>e） 成品、 中间产品和副产品放行点及废弃物的排放点</w:t>
            </w:r>
          </w:p>
          <w:p>
            <w:pPr>
              <w:widowControl/>
              <w:numPr>
                <w:ilvl w:val="0"/>
                <w:numId w:val="8"/>
              </w:numPr>
              <w:shd w:val="clear"/>
              <w:autoSpaceDE w:val="0"/>
              <w:autoSpaceDN w:val="0"/>
              <w:adjustRightInd w:val="0"/>
              <w:rPr>
                <w:b/>
              </w:rPr>
            </w:pPr>
            <w:r>
              <w:t>工厂位置图</w:t>
            </w:r>
          </w:p>
          <w:p>
            <w:pPr>
              <w:widowControl/>
              <w:numPr>
                <w:ilvl w:val="0"/>
                <w:numId w:val="8"/>
              </w:numPr>
              <w:shd w:val="clear"/>
              <w:autoSpaceDE w:val="0"/>
              <w:autoSpaceDN w:val="0"/>
              <w:adjustRightInd w:val="0"/>
            </w:pPr>
            <w:r>
              <w:t>厂区平面图</w:t>
            </w:r>
          </w:p>
          <w:p>
            <w:pPr>
              <w:widowControl/>
              <w:numPr>
                <w:ilvl w:val="0"/>
                <w:numId w:val="8"/>
              </w:numPr>
              <w:shd w:val="clea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8"/>
              </w:numPr>
              <w:shd w:val="clear"/>
              <w:autoSpaceDE w:val="0"/>
              <w:autoSpaceDN w:val="0"/>
              <w:adjustRightInd w:val="0"/>
              <w:rPr>
                <w:b/>
              </w:rPr>
            </w:pPr>
            <w:r>
              <w:t>人流</w:t>
            </w:r>
            <w:r>
              <w:rPr>
                <w:rFonts w:hint="eastAsia"/>
              </w:rPr>
              <w:t>、</w:t>
            </w:r>
            <w:r>
              <w:t>物流</w:t>
            </w:r>
          </w:p>
          <w:p>
            <w:pPr>
              <w:widowControl/>
              <w:numPr>
                <w:ilvl w:val="0"/>
                <w:numId w:val="8"/>
              </w:numPr>
              <w:shd w:val="clear"/>
              <w:autoSpaceDE w:val="0"/>
              <w:autoSpaceDN w:val="0"/>
              <w:adjustRightInd w:val="0"/>
              <w:rPr>
                <w:b/>
              </w:rPr>
            </w:pPr>
            <w:r>
              <w:t>防虫害分布图</w:t>
            </w:r>
          </w:p>
          <w:p>
            <w:pPr>
              <w:widowControl/>
              <w:numPr>
                <w:ilvl w:val="0"/>
                <w:numId w:val="8"/>
              </w:numPr>
              <w:shd w:val="clear"/>
              <w:autoSpaceDE w:val="0"/>
              <w:autoSpaceDN w:val="0"/>
              <w:adjustRightInd w:val="0"/>
              <w:rPr>
                <w:bCs/>
              </w:rPr>
            </w:pPr>
            <w:r>
              <w:rPr>
                <w:rFonts w:hint="eastAsia"/>
                <w:bCs/>
              </w:rPr>
              <w:t>其他</w:t>
            </w:r>
          </w:p>
          <w:p>
            <w:pPr>
              <w:shd w:val="clear"/>
            </w:pPr>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pPr>
          </w:p>
          <w:p>
            <w:pPr>
              <w:shd w:val="clear" w:color="auto"/>
            </w:pPr>
            <w:r>
              <w:t>食品安全小组在</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rPr>
                <w:b/>
                <w:bCs/>
              </w:rPr>
              <w:t>危害分析</w:t>
            </w:r>
          </w:p>
          <w:p>
            <w:pPr>
              <w:shd w:val="clear" w:color="auto"/>
            </w:pPr>
            <w:r>
              <w:t>食品安全小组根据初步情况进行危害分析，确定需要控制的危害。控制程度应确保食品安全，并在适当情况下采用多种控制措施的组合。</w:t>
            </w:r>
          </w:p>
          <w:p>
            <w:pPr>
              <w:shd w:val="clear" w:color="auto"/>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pPr>
            <w:r>
              <w:t>a） 根据8.5.1收集的初步信息和数据；</w:t>
            </w:r>
          </w:p>
          <w:p>
            <w:pPr>
              <w:shd w:val="clear" w:color="auto"/>
            </w:pPr>
            <w:r>
              <w:t>b） 经验</w:t>
            </w:r>
            <w:r>
              <w:rPr>
                <w:rFonts w:hint="eastAsia"/>
              </w:rPr>
              <w:t>（</w:t>
            </w:r>
            <w:r>
              <w:t>可包括熟悉其他设施的产品和/或过程的员工和外部专家提供的信息</w:t>
            </w:r>
            <w:r>
              <w:rPr>
                <w:rFonts w:hint="eastAsia"/>
              </w:rPr>
              <w:t>）</w:t>
            </w:r>
            <w:r>
              <w:t>；</w:t>
            </w:r>
          </w:p>
          <w:p>
            <w:pPr>
              <w:shd w:val="clear" w:color="auto"/>
            </w:pPr>
            <w:r>
              <w:t>c） 内部和外部信息，尽可能包括流行病学、科学和其他历史数据；</w:t>
            </w:r>
          </w:p>
          <w:p>
            <w:pPr>
              <w:shd w:val="clear" w:color="auto"/>
            </w:pPr>
            <w:r>
              <w:t>d） 来自食品链的与最终产品、中间产品和食用时食品安全相关的食品安全危害信息；</w:t>
            </w:r>
          </w:p>
          <w:p>
            <w:pPr>
              <w:shd w:val="clear" w:color="auto"/>
            </w:pPr>
            <w:r>
              <w:t>e） 法律、法规和客户要求。</w:t>
            </w:r>
            <w:r>
              <w:rPr>
                <w:rFonts w:hint="eastAsia"/>
              </w:rPr>
              <w:t>（可包括食品安全目标（FSO））</w:t>
            </w:r>
          </w:p>
          <w:p>
            <w:pPr>
              <w:shd w:val="clear" w:color="auto"/>
            </w:pPr>
            <w:r>
              <w:t>应充分详细地考虑危</w:t>
            </w:r>
            <w:r>
              <w:rPr>
                <w:rFonts w:hint="eastAsia"/>
              </w:rPr>
              <w:t>害</w:t>
            </w:r>
            <w:r>
              <w:t>，以便进行危险评估和选择适当的控制措施。</w:t>
            </w:r>
          </w:p>
          <w:p>
            <w:pPr>
              <w:shd w:val="clear" w:color="auto"/>
            </w:pPr>
          </w:p>
          <w:p>
            <w:pPr>
              <w:shd w:val="clear" w:color="auto"/>
            </w:pPr>
            <w:r>
              <w:t>组织应确定每种食品安全危害可能出现、引入、增加或持续的步骤（如接收原料、加工、分配和交付）。</w:t>
            </w:r>
          </w:p>
          <w:p>
            <w:pPr>
              <w:shd w:val="clear" w:color="auto"/>
            </w:pPr>
            <w:r>
              <w:t>当识别危害时，组织应考虑：</w:t>
            </w:r>
          </w:p>
          <w:p>
            <w:pPr>
              <w:shd w:val="clear" w:color="auto"/>
            </w:pPr>
            <w:r>
              <w:t>a） 食物链的前后阶段；</w:t>
            </w:r>
          </w:p>
          <w:p>
            <w:pPr>
              <w:shd w:val="clear" w:color="auto"/>
            </w:pPr>
            <w:r>
              <w:t>b） 流程图中的所有步骤；</w:t>
            </w:r>
          </w:p>
          <w:p>
            <w:pPr>
              <w:shd w:val="clear" w:color="auto"/>
            </w:pPr>
            <w:r>
              <w:t>c） 工艺设备、公用设施/服务、工艺环境和人员</w:t>
            </w:r>
          </w:p>
          <w:p>
            <w:pPr>
              <w:shd w:val="clear" w:color="auto"/>
            </w:pPr>
          </w:p>
          <w:p>
            <w:pPr>
              <w:shd w:val="clear" w:color="auto"/>
            </w:pPr>
            <w:r>
              <w:t>组织应尽可能确定所识别最终产品的的每种食品安全危害的可接受水平。</w:t>
            </w:r>
          </w:p>
          <w:p>
            <w:pPr>
              <w:shd w:val="clear" w:color="auto"/>
            </w:pPr>
            <w:r>
              <w:t>在确定可接受的水平时，组织应：</w:t>
            </w:r>
          </w:p>
          <w:p>
            <w:pPr>
              <w:shd w:val="clear" w:color="auto"/>
            </w:pPr>
            <w:r>
              <w:t>a） 确保确定适用的法律、法规和客户要求；</w:t>
            </w:r>
          </w:p>
          <w:p>
            <w:pPr>
              <w:shd w:val="clear" w:color="auto"/>
            </w:pPr>
            <w:r>
              <w:t>b） 考虑最终产品的预期用途；</w:t>
            </w:r>
          </w:p>
          <w:p>
            <w:pPr>
              <w:shd w:val="clear" w:color="auto"/>
            </w:pPr>
            <w:r>
              <w:t>c） 考虑其他相关信息。</w:t>
            </w:r>
          </w:p>
          <w:p>
            <w:pPr>
              <w:shd w:val="clear" w:color="auto"/>
            </w:pPr>
            <w:r>
              <w:t>组织应保持有关确定可接受水平和证明可接受水平的文件化信息。</w:t>
            </w:r>
          </w:p>
          <w:p>
            <w:pPr>
              <w:shd w:val="clear"/>
              <w:tabs>
                <w:tab w:val="right" w:pos="3119"/>
              </w:tabs>
              <w:rPr>
                <w:b/>
              </w:rPr>
            </w:pPr>
          </w:p>
          <w:p>
            <w:pPr>
              <w:shd w:val="clear" w:color="auto"/>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autoSpaceDE w:val="0"/>
              <w:autoSpaceDN w:val="0"/>
              <w:adjustRightInd w:val="0"/>
              <w:rPr>
                <w:b/>
              </w:rPr>
            </w:pPr>
            <w:r>
              <w:rPr>
                <w:b/>
              </w:rPr>
              <w:t>危害</w:t>
            </w:r>
            <w:r>
              <w:rPr>
                <w:rFonts w:hint="eastAsia"/>
                <w:b/>
              </w:rPr>
              <w:t>评估</w:t>
            </w:r>
          </w:p>
          <w:p>
            <w:pPr>
              <w:shd w:val="clear"/>
              <w:rPr>
                <w:lang w:val="en-GB"/>
              </w:rPr>
            </w:pPr>
            <w:r>
              <w:rPr>
                <w:lang w:val="en-GB"/>
              </w:rPr>
              <w:t>HACCP小组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3</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10</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pPr>
              <w:shd w:val="clea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pPr>
            <w:r>
              <w:rPr>
                <w:lang w:val="en-GB"/>
              </w:rPr>
              <w:t>显著危害</w:t>
            </w:r>
            <w:r>
              <w:rPr>
                <w:rFonts w:hint="eastAsia"/>
              </w:rPr>
              <w:t>包括：</w:t>
            </w:r>
          </w:p>
          <w:p>
            <w:pPr>
              <w:shd w:val="clear"/>
            </w:pPr>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A8"/>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shd w:val="clear"/>
              <w:ind w:firstLine="840" w:firstLineChars="400"/>
            </w:pPr>
            <w:r>
              <w:t xml:space="preserve">  </w:t>
            </w:r>
            <w:r>
              <w:rPr>
                <w:rFonts w:hint="eastAsia"/>
              </w:rPr>
              <w:sym w:font="Wingdings" w:char="00A8"/>
            </w:r>
            <w:r>
              <w:rPr>
                <w:rFonts w:hint="eastAsia"/>
              </w:rPr>
              <w:t xml:space="preserve">超量的食品添加剂   </w:t>
            </w:r>
            <w:r>
              <w:rPr>
                <w:rFonts w:hint="eastAsia"/>
              </w:rPr>
              <w:sym w:font="Wingdings" w:char="00A8"/>
            </w:r>
            <w:r>
              <w:rPr>
                <w:rFonts w:hint="eastAsia"/>
              </w:rPr>
              <w:t xml:space="preserve">化学品（润滑油、清洁剂、消毒剂、杀虫剂） </w:t>
            </w:r>
            <w:r>
              <w:t xml:space="preserve"> </w:t>
            </w:r>
            <w:r>
              <w:rPr>
                <w:rFonts w:hint="eastAsia"/>
              </w:rPr>
              <w:sym w:font="Wingdings" w:char="00A8"/>
            </w:r>
            <w:r>
              <w:rPr>
                <w:rFonts w:hint="eastAsia"/>
              </w:rPr>
              <w:t xml:space="preserve"> </w:t>
            </w:r>
            <w:r>
              <w:rPr>
                <w:rFonts w:hint="eastAsia"/>
                <w:bCs/>
                <w:lang w:val="en-GB"/>
              </w:rPr>
              <w:t>苯并芘</w:t>
            </w:r>
            <w:r>
              <w:rPr>
                <w:rFonts w:hint="eastAsia"/>
                <w:b/>
                <w:color w:val="0000FF"/>
              </w:rPr>
              <w:t xml:space="preserve"> </w:t>
            </w:r>
            <w:r>
              <w:rPr>
                <w:rFonts w:hint="eastAsia"/>
              </w:rPr>
              <w:t xml:space="preserve"> </w:t>
            </w:r>
            <w:r>
              <w:t xml:space="preserve"> </w:t>
            </w:r>
          </w:p>
          <w:p>
            <w:pPr>
              <w:shd w:val="clear"/>
              <w:ind w:firstLine="1050" w:firstLineChars="500"/>
              <w:rPr>
                <w:rFonts w:hint="default" w:eastAsia="宋体"/>
                <w:lang w:val="en-US" w:eastAsia="zh-CN"/>
              </w:rPr>
            </w:pPr>
            <w:r>
              <w:rPr>
                <w:rFonts w:hint="eastAsia"/>
              </w:rPr>
              <w:sym w:font="Wingdings" w:char="00A8"/>
            </w:r>
            <w:r>
              <w:rPr>
                <w:rFonts w:hint="eastAsia"/>
              </w:rPr>
              <w:t xml:space="preserve">二氧化硫残留 </w:t>
            </w:r>
            <w:r>
              <w:rPr>
                <w:rFonts w:hint="eastAsia"/>
              </w:rPr>
              <w:sym w:font="Wingdings" w:char="00FE"/>
            </w:r>
            <w:r>
              <w:rPr>
                <w:rFonts w:hint="eastAsia"/>
              </w:rPr>
              <w:t xml:space="preserve">有毒有害种子 </w:t>
            </w:r>
            <w:r>
              <w:rPr>
                <w:rFonts w:hint="eastAsia"/>
              </w:rPr>
              <w:sym w:font="Wingdings" w:char="00A8"/>
            </w:r>
            <w:r>
              <w:rPr>
                <w:rFonts w:hint="eastAsia"/>
              </w:rPr>
              <w:t>其他</w:t>
            </w:r>
            <w:r>
              <w:rPr>
                <w:rFonts w:hint="eastAsia"/>
                <w:lang w:eastAsia="zh-CN"/>
              </w:rPr>
              <w:t>——</w:t>
            </w:r>
            <w:r>
              <w:rPr>
                <w:rFonts w:hint="eastAsia"/>
                <w:lang w:val="en-US" w:eastAsia="zh-CN"/>
              </w:rPr>
              <w:t xml:space="preserve"> </w:t>
            </w:r>
          </w:p>
          <w:p>
            <w:pPr>
              <w:shd w:val="clear"/>
            </w:pPr>
            <w:r>
              <w:rPr>
                <w:rFonts w:hint="eastAsia"/>
              </w:rPr>
              <w:t>生物危害：</w:t>
            </w:r>
            <w:r>
              <w:rPr>
                <w:rFonts w:hint="eastAsia"/>
              </w:rPr>
              <w:sym w:font="Wingdings" w:char="00A8"/>
            </w:r>
            <w:r>
              <w:rPr>
                <w:rFonts w:hint="eastAsia"/>
              </w:rPr>
              <w:t>大肠杆菌</w:t>
            </w:r>
            <w:r>
              <w:rPr>
                <w:rFonts w:hint="eastAsia"/>
                <w:lang w:val="en-US" w:eastAsia="zh-CN"/>
              </w:rPr>
              <w:t xml:space="preserve">   </w:t>
            </w:r>
            <w:r>
              <w:rPr>
                <w:rFonts w:hint="eastAsia"/>
              </w:rPr>
              <w:t xml:space="preserve"> </w:t>
            </w:r>
            <w:r>
              <w:rPr>
                <w:rFonts w:hint="eastAsia"/>
              </w:rPr>
              <w:sym w:font="Wingdings" w:char="00A8"/>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A8"/>
            </w:r>
            <w:r>
              <w:rPr>
                <w:rFonts w:hint="eastAsia"/>
              </w:rPr>
              <w:t xml:space="preserve">霉菌  </w:t>
            </w:r>
            <w:r>
              <w:rPr>
                <w:rFonts w:hint="eastAsia"/>
              </w:rPr>
              <w:sym w:font="Wingdings" w:char="00A8"/>
            </w:r>
            <w:r>
              <w:rPr>
                <w:rFonts w:hint="eastAsia"/>
              </w:rPr>
              <w:t xml:space="preserve">酵母菌 </w:t>
            </w:r>
            <w:r>
              <w:rPr>
                <w:rFonts w:hint="eastAsia"/>
              </w:rPr>
              <w:sym w:font="Wingdings" w:char="00A8"/>
            </w:r>
            <w:r>
              <w:rPr>
                <w:rFonts w:hint="eastAsia"/>
              </w:rPr>
              <w:t>沙门氏菌</w:t>
            </w:r>
          </w:p>
          <w:p>
            <w:pPr>
              <w:shd w:val="clear"/>
              <w:rPr>
                <w:rFonts w:hint="eastAsia"/>
              </w:rPr>
            </w:pPr>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lang w:val="en-US" w:eastAsia="zh-CN"/>
              </w:rPr>
              <w:t xml:space="preserve">   </w:t>
            </w:r>
            <w:r>
              <w:rPr>
                <w:rFonts w:hint="eastAsia"/>
              </w:rPr>
              <w:t xml:space="preserve"> </w:t>
            </w:r>
            <w:r>
              <w:rPr>
                <w:rFonts w:hint="eastAsia"/>
              </w:rPr>
              <w:sym w:font="Wingdings" w:char="00FE"/>
            </w:r>
            <w:r>
              <w:rPr>
                <w:rFonts w:hint="eastAsia"/>
              </w:rPr>
              <w:t>其他（</w:t>
            </w:r>
            <w:r>
              <w:rPr>
                <w:rFonts w:hint="eastAsia"/>
                <w:lang w:val="en-US" w:eastAsia="zh-CN"/>
              </w:rPr>
              <w:t>病毒</w:t>
            </w:r>
            <w:r>
              <w:rPr>
                <w:rFonts w:hint="eastAsia"/>
              </w:rPr>
              <w:t>）</w:t>
            </w:r>
          </w:p>
          <w:p>
            <w:pPr>
              <w:pStyle w:val="2"/>
              <w:shd w:val="clear"/>
              <w:tabs>
                <w:tab w:val="clear" w:pos="1560"/>
                <w:tab w:val="clear" w:pos="1985"/>
              </w:tabs>
              <w:ind w:left="0" w:leftChars="0" w:firstLine="840" w:firstLineChars="400"/>
              <w:rPr>
                <w:rFonts w:hint="default" w:eastAsia="宋体"/>
                <w:lang w:val="en-US" w:eastAsia="zh-CN"/>
              </w:rPr>
            </w:pPr>
            <w:r>
              <w:rPr>
                <w:rFonts w:hint="eastAsia"/>
              </w:rPr>
              <w:t xml:space="preserve"> </w:t>
            </w:r>
            <w:r>
              <w:rPr>
                <w:rFonts w:hint="eastAsia"/>
              </w:rPr>
              <w:sym w:font="Wingdings" w:char="00A8"/>
            </w:r>
            <w:r>
              <w:rPr>
                <w:rFonts w:hint="eastAsia"/>
                <w:lang w:val="en-US" w:eastAsia="zh-CN"/>
              </w:rPr>
              <w:t>单核增生李斯特氏菌</w:t>
            </w:r>
          </w:p>
          <w:p>
            <w:pPr>
              <w:shd w:val="clear"/>
              <w:rPr>
                <w:rFonts w:hint="default" w:eastAsia="宋体"/>
                <w:lang w:val="en-US" w:eastAsia="zh-CN"/>
              </w:rPr>
            </w:pPr>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w:t>
            </w:r>
            <w:r>
              <w:rPr>
                <w:rFonts w:hint="eastAsia"/>
                <w:lang w:eastAsia="zh-CN"/>
              </w:rPr>
              <w:t>—</w:t>
            </w:r>
            <w:r>
              <w:rPr>
                <w:rFonts w:hint="eastAsia"/>
                <w:lang w:val="en-US" w:eastAsia="zh-CN"/>
              </w:rPr>
              <w:t>木屑、断针</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rPr>
                <w:b/>
                <w:bCs/>
              </w:rPr>
              <w:t>控制措施的选择和分类</w:t>
            </w:r>
          </w:p>
          <w:p>
            <w:pPr>
              <w:shd w:val="clear" w:color="auto"/>
            </w:pPr>
            <w:r>
              <w:t>组织在危害评价的基础上，选择适当的控制措施或控制措施的组合，以防止或将已识别的显著食品安全危害降低到规定的可接受水平。</w:t>
            </w:r>
          </w:p>
          <w:p>
            <w:pPr>
              <w:shd w:val="clear" w:color="auto"/>
            </w:pPr>
            <w:r>
              <w:t>组织将选定的识别控制措施分类为OPRP（见3.30）或CCPs。</w:t>
            </w:r>
          </w:p>
          <w:p>
            <w:pPr>
              <w:shd w:val="clear"/>
              <w:tabs>
                <w:tab w:val="right" w:pos="3119"/>
              </w:tabs>
              <w:rPr>
                <w:b/>
              </w:rPr>
            </w:pPr>
            <w:r>
              <w:rPr>
                <w:rFonts w:hint="eastAsia"/>
                <w:b/>
              </w:rPr>
              <w:t>最终产品危害分析：</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shd w:val="clear"/>
                    <w:jc w:val="center"/>
                    <w:rPr>
                      <w:b/>
                      <w:color w:val="0000FF"/>
                      <w:lang w:val="en-GB"/>
                    </w:rPr>
                  </w:pPr>
                  <w:r>
                    <w:rPr>
                      <w:rFonts w:hint="eastAsia"/>
                      <w:b/>
                      <w:color w:val="0000FF"/>
                      <w:lang w:val="en-GB"/>
                    </w:rPr>
                    <w:t>产品</w:t>
                  </w:r>
                </w:p>
              </w:tc>
              <w:tc>
                <w:tcPr>
                  <w:tcW w:w="2873" w:type="dxa"/>
                  <w:shd w:val="clear" w:color="auto" w:fill="auto"/>
                  <w:vAlign w:val="bottom"/>
                </w:tcPr>
                <w:p>
                  <w:pPr>
                    <w:shd w:val="clear"/>
                    <w:jc w:val="center"/>
                    <w:rPr>
                      <w:b/>
                      <w:color w:val="0000FF"/>
                      <w:lang w:val="en-GB"/>
                    </w:rPr>
                  </w:pPr>
                  <w:r>
                    <w:rPr>
                      <w:rFonts w:hint="eastAsia"/>
                      <w:b/>
                      <w:color w:val="0000FF"/>
                      <w:lang w:val="en-GB"/>
                    </w:rPr>
                    <w:t>潜在危害</w:t>
                  </w:r>
                </w:p>
              </w:tc>
              <w:tc>
                <w:tcPr>
                  <w:tcW w:w="3184" w:type="dxa"/>
                  <w:shd w:val="clear" w:color="auto" w:fill="auto"/>
                </w:tcPr>
                <w:p>
                  <w:pPr>
                    <w:shd w:val="clear"/>
                    <w:jc w:val="center"/>
                    <w:rPr>
                      <w:b/>
                      <w:lang w:val="en-G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shd w:val="clear"/>
                    <w:jc w:val="center"/>
                    <w:rPr>
                      <w:rFonts w:hint="eastAsia" w:ascii="Times New Roman" w:hAnsi="Times New Roman" w:eastAsia="宋体" w:cs="Times New Roman"/>
                      <w:bCs/>
                      <w:kern w:val="2"/>
                      <w:sz w:val="21"/>
                      <w:szCs w:val="24"/>
                      <w:lang w:val="en-GB" w:eastAsia="zh-CN" w:bidi="ar-SA"/>
                    </w:rPr>
                  </w:pPr>
                  <w:r>
                    <w:rPr>
                      <w:rFonts w:hint="eastAsia"/>
                      <w:bCs/>
                      <w:lang w:val="en-US" w:eastAsia="zh-CN"/>
                    </w:rPr>
                    <w:t>大米</w:t>
                  </w:r>
                </w:p>
              </w:tc>
              <w:tc>
                <w:tcPr>
                  <w:tcW w:w="2873" w:type="dxa"/>
                  <w:shd w:val="clear" w:color="auto" w:fill="auto"/>
                  <w:vAlign w:val="center"/>
                </w:tcPr>
                <w:p>
                  <w:pPr>
                    <w:shd w:val="clear"/>
                    <w:jc w:val="cente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shd w:val="clear"/>
                    <w:autoSpaceDE w:val="0"/>
                    <w:autoSpaceDN w:val="0"/>
                    <w:adjustRightInd w:val="0"/>
                    <w:jc w:val="center"/>
                    <w:rPr>
                      <w:bCs/>
                      <w:lang w:val="en-GB"/>
                    </w:rPr>
                  </w:pPr>
                  <w:r>
                    <w:rPr>
                      <w:rFonts w:hint="eastAsia"/>
                      <w:bCs/>
                    </w:rPr>
                    <w:sym w:font="Wingdings" w:char="00FE"/>
                  </w:r>
                  <w:r>
                    <w:rPr>
                      <w:rFonts w:hint="eastAsia"/>
                      <w:bCs/>
                      <w:lang w:val="en-GB"/>
                    </w:rPr>
                    <w:t xml:space="preserve">黄曲霉毒素 </w:t>
                  </w:r>
                  <w:r>
                    <w:rPr>
                      <w:rFonts w:hint="eastAsia"/>
                      <w:bCs/>
                    </w:rPr>
                    <w:sym w:font="Wingdings" w:char="00A8"/>
                  </w:r>
                  <w:r>
                    <w:rPr>
                      <w:rFonts w:hint="eastAsia"/>
                      <w:bCs/>
                      <w:lang w:val="en-GB"/>
                    </w:rPr>
                    <w:t>苯并芘</w:t>
                  </w:r>
                </w:p>
                <w:p>
                  <w:pPr>
                    <w:shd w:val="clear"/>
                    <w:jc w:val="center"/>
                    <w:rPr>
                      <w:bCs/>
                      <w:lang w:val="en-GB"/>
                    </w:rPr>
                  </w:pPr>
                  <w:r>
                    <w:rPr>
                      <w:rFonts w:hint="eastAsia"/>
                      <w:bCs/>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pPr>
                    <w:shd w:val="clear"/>
                    <w:jc w:val="center"/>
                    <w:rPr>
                      <w:rFonts w:hint="default" w:ascii="Times New Roman" w:hAnsi="Times New Roman" w:eastAsia="宋体" w:cs="Times New Roman"/>
                      <w:bCs/>
                      <w:kern w:val="2"/>
                      <w:sz w:val="21"/>
                      <w:szCs w:val="24"/>
                      <w:lang w:val="en-GB" w:eastAsia="zh-CN" w:bidi="ar-SA"/>
                    </w:rPr>
                  </w:pPr>
                  <w:r>
                    <w:rPr>
                      <w:rFonts w:hint="eastAsia"/>
                    </w:rPr>
                    <w:sym w:font="Wingdings" w:char="00A8"/>
                  </w:r>
                  <w:r>
                    <w:rPr>
                      <w:rFonts w:hint="eastAsia"/>
                      <w:bCs/>
                      <w:lang w:val="en-US" w:eastAsia="zh-CN"/>
                    </w:rPr>
                    <w:t>挥发性盐基氮</w:t>
                  </w:r>
                </w:p>
              </w:tc>
              <w:tc>
                <w:tcPr>
                  <w:tcW w:w="3184" w:type="dxa"/>
                  <w:shd w:val="clear" w:color="auto" w:fill="auto"/>
                  <w:vAlign w:val="center"/>
                </w:tcPr>
                <w:p>
                  <w:pPr>
                    <w:shd w:val="clear"/>
                    <w:jc w:val="center"/>
                    <w:rPr>
                      <w:bCs/>
                    </w:rPr>
                  </w:pPr>
                  <w:r>
                    <w:rPr>
                      <w:rFonts w:hint="eastAsia"/>
                    </w:rPr>
                    <w:sym w:font="Wingdings" w:char="00FE"/>
                  </w:r>
                  <w:r>
                    <w:rPr>
                      <w:bCs/>
                    </w:rPr>
                    <w:t>OPRP</w:t>
                  </w:r>
                </w:p>
                <w:p>
                  <w:pPr>
                    <w:shd w:val="clear"/>
                    <w:jc w:val="center"/>
                    <w:rPr>
                      <w:bCs/>
                    </w:rPr>
                  </w:pPr>
                  <w:r>
                    <w:rPr>
                      <w:rFonts w:hint="eastAsia"/>
                    </w:rPr>
                    <w:sym w:font="Wingdings" w:char="00FE"/>
                  </w:r>
                  <w:r>
                    <w:rPr>
                      <w:rFonts w:hint="eastAsia"/>
                      <w:bCs/>
                    </w:rPr>
                    <w:t>作业指导书&amp;</w:t>
                  </w:r>
                  <w:r>
                    <w:rPr>
                      <w:bCs/>
                    </w:rPr>
                    <w:t>SSOP</w:t>
                  </w:r>
                </w:p>
                <w:p>
                  <w:pPr>
                    <w:shd w:val="clear"/>
                    <w:jc w:val="center"/>
                    <w:rPr>
                      <w:bCs/>
                    </w:rPr>
                  </w:pPr>
                  <w:r>
                    <w:rPr>
                      <w:rFonts w:hint="eastAsia"/>
                    </w:rPr>
                    <w:sym w:font="Wingdings" w:char="00FE"/>
                  </w:r>
                  <w:r>
                    <w:rPr>
                      <w:bCs/>
                    </w:rPr>
                    <w:t>CCPs</w:t>
                  </w:r>
                </w:p>
                <w:p>
                  <w:pPr>
                    <w:shd w:val="clear"/>
                    <w:jc w:val="cente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top"/>
                </w:tcPr>
                <w:p>
                  <w:pPr>
                    <w:shd w:val="clear"/>
                    <w:autoSpaceDE w:val="0"/>
                    <w:autoSpaceDN w:val="0"/>
                    <w:adjustRightInd w:val="0"/>
                    <w:jc w:val="left"/>
                    <w:rPr>
                      <w:rFonts w:hint="eastAsia" w:ascii="Times New Roman" w:hAnsi="Times New Roman" w:eastAsia="宋体" w:cs="Times New Roman"/>
                      <w:b/>
                      <w:color w:val="0000FF"/>
                      <w:kern w:val="2"/>
                      <w:sz w:val="21"/>
                      <w:szCs w:val="24"/>
                      <w:highlight w:val="yellow"/>
                      <w:lang w:val="en-GB" w:eastAsia="zh-CN" w:bidi="ar-SA"/>
                    </w:rPr>
                  </w:pPr>
                </w:p>
              </w:tc>
              <w:tc>
                <w:tcPr>
                  <w:tcW w:w="2873" w:type="dxa"/>
                  <w:shd w:val="clear" w:color="auto" w:fill="auto"/>
                  <w:vAlign w:val="top"/>
                </w:tcPr>
                <w:p>
                  <w:pPr>
                    <w:shd w:val="clear"/>
                    <w:autoSpaceDE w:val="0"/>
                    <w:autoSpaceDN w:val="0"/>
                    <w:adjustRightInd w:val="0"/>
                    <w:jc w:val="left"/>
                    <w:rPr>
                      <w:rFonts w:hint="eastAsia" w:ascii="Times New Roman" w:hAnsi="Times New Roman" w:eastAsia="宋体" w:cs="Times New Roman"/>
                      <w:b/>
                      <w:color w:val="0000FF"/>
                      <w:kern w:val="2"/>
                      <w:sz w:val="21"/>
                      <w:szCs w:val="24"/>
                      <w:highlight w:val="yellow"/>
                      <w:lang w:val="en-GB" w:eastAsia="zh-CN" w:bidi="ar-SA"/>
                    </w:rPr>
                  </w:pPr>
                </w:p>
              </w:tc>
              <w:tc>
                <w:tcPr>
                  <w:tcW w:w="3184" w:type="dxa"/>
                  <w:shd w:val="clear" w:color="auto" w:fill="auto"/>
                  <w:vAlign w:val="bottom"/>
                </w:tcPr>
                <w:p>
                  <w:pPr>
                    <w:shd w:val="clear"/>
                    <w:rPr>
                      <w:rFonts w:hint="eastAsia" w:ascii="Times New Roman" w:hAnsi="Times New Roman" w:eastAsia="宋体" w:cs="Times New Roman"/>
                      <w:b/>
                      <w:color w:val="0000FF"/>
                      <w:kern w:val="2"/>
                      <w:sz w:val="21"/>
                      <w:szCs w:val="24"/>
                      <w:highlight w:val="yellow"/>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278" w:type="dxa"/>
                  <w:shd w:val="clear" w:color="auto" w:fill="auto"/>
                  <w:vAlign w:val="top"/>
                </w:tcPr>
                <w:p>
                  <w:pPr>
                    <w:shd w:val="clear"/>
                    <w:autoSpaceDE w:val="0"/>
                    <w:autoSpaceDN w:val="0"/>
                    <w:adjustRightInd w:val="0"/>
                    <w:jc w:val="left"/>
                    <w:rPr>
                      <w:rFonts w:ascii="Times New Roman" w:hAnsi="Times New Roman" w:eastAsia="宋体" w:cs="Times New Roman"/>
                      <w:b/>
                      <w:color w:val="0000FF"/>
                      <w:kern w:val="2"/>
                      <w:sz w:val="21"/>
                      <w:szCs w:val="24"/>
                      <w:highlight w:val="yellow"/>
                      <w:lang w:val="en-GB" w:eastAsia="zh-CN" w:bidi="ar-SA"/>
                    </w:rPr>
                  </w:pPr>
                </w:p>
              </w:tc>
              <w:tc>
                <w:tcPr>
                  <w:tcW w:w="2873" w:type="dxa"/>
                  <w:shd w:val="clear" w:color="auto" w:fill="auto"/>
                  <w:vAlign w:val="top"/>
                </w:tcPr>
                <w:p>
                  <w:pPr>
                    <w:shd w:val="clear"/>
                    <w:autoSpaceDE w:val="0"/>
                    <w:autoSpaceDN w:val="0"/>
                    <w:adjustRightInd w:val="0"/>
                    <w:jc w:val="left"/>
                    <w:rPr>
                      <w:rFonts w:hint="eastAsia" w:ascii="Times New Roman" w:hAnsi="Times New Roman" w:eastAsia="宋体" w:cs="Times New Roman"/>
                      <w:b/>
                      <w:color w:val="0000FF"/>
                      <w:kern w:val="2"/>
                      <w:sz w:val="21"/>
                      <w:szCs w:val="24"/>
                      <w:highlight w:val="yellow"/>
                      <w:lang w:val="en-GB" w:eastAsia="zh-CN" w:bidi="ar-SA"/>
                    </w:rPr>
                  </w:pPr>
                </w:p>
              </w:tc>
              <w:tc>
                <w:tcPr>
                  <w:tcW w:w="3184" w:type="dxa"/>
                  <w:shd w:val="clear" w:color="auto" w:fill="auto"/>
                  <w:vAlign w:val="bottom"/>
                </w:tcPr>
                <w:p>
                  <w:pPr>
                    <w:shd w:val="clear"/>
                    <w:rPr>
                      <w:rFonts w:hint="eastAsia" w:ascii="Times New Roman" w:hAnsi="Times New Roman" w:eastAsia="宋体" w:cs="Times New Roman"/>
                      <w:b/>
                      <w:color w:val="0000FF"/>
                      <w:kern w:val="2"/>
                      <w:sz w:val="21"/>
                      <w:szCs w:val="24"/>
                      <w:highlight w:val="yellow"/>
                      <w:lang w:val="en-GB" w:eastAsia="zh-CN" w:bidi="ar-SA"/>
                    </w:rPr>
                  </w:pPr>
                </w:p>
              </w:tc>
            </w:tr>
          </w:tbl>
          <w:p>
            <w:pPr>
              <w:shd w:val="clear"/>
              <w:tabs>
                <w:tab w:val="right" w:pos="3119"/>
              </w:tabs>
              <w:rPr>
                <w:b/>
                <w:lang w:val="en-GB"/>
              </w:rPr>
            </w:pPr>
          </w:p>
          <w:p>
            <w:pPr>
              <w:shd w:val="clea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9"/>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vAlign w:val="center"/>
                </w:tcPr>
                <w:p>
                  <w:pPr>
                    <w:jc w:val="center"/>
                    <w:rPr>
                      <w:bCs/>
                    </w:rPr>
                  </w:pPr>
                  <w:r>
                    <w:rPr>
                      <w:rFonts w:hint="eastAsia"/>
                      <w:bCs/>
                    </w:rPr>
                    <w:t>主要原料名称</w:t>
                  </w:r>
                </w:p>
              </w:tc>
              <w:tc>
                <w:tcPr>
                  <w:tcW w:w="2905" w:type="dxa"/>
                  <w:shd w:val="clear" w:color="auto" w:fill="auto"/>
                  <w:vAlign w:val="center"/>
                </w:tcPr>
                <w:p>
                  <w:pPr>
                    <w:jc w:val="center"/>
                    <w:rPr>
                      <w:bCs/>
                    </w:rPr>
                  </w:pPr>
                  <w:r>
                    <w:rPr>
                      <w:rFonts w:hint="eastAsia"/>
                      <w:bCs/>
                    </w:rPr>
                    <w:t>潜在危害</w:t>
                  </w:r>
                </w:p>
              </w:tc>
              <w:tc>
                <w:tcPr>
                  <w:tcW w:w="3476" w:type="dxa"/>
                  <w:shd w:val="clear" w:color="auto" w:fill="auto"/>
                  <w:vAlign w:val="center"/>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center"/>
                </w:tcPr>
                <w:p>
                  <w:pPr>
                    <w:autoSpaceDE w:val="0"/>
                    <w:autoSpaceDN w:val="0"/>
                    <w:adjustRightInd w:val="0"/>
                    <w:jc w:val="center"/>
                    <w:rPr>
                      <w:rFonts w:hint="eastAsia" w:eastAsia="宋体"/>
                      <w:bCs/>
                      <w:lang w:val="en-GB" w:eastAsia="zh-CN"/>
                    </w:rPr>
                  </w:pPr>
                  <w:r>
                    <w:rPr>
                      <w:rFonts w:hint="eastAsia"/>
                      <w:bCs/>
                      <w:lang w:val="en-US" w:eastAsia="zh-CN"/>
                    </w:rPr>
                    <w:t>稻谷</w:t>
                  </w:r>
                </w:p>
              </w:tc>
              <w:tc>
                <w:tcPr>
                  <w:tcW w:w="2905" w:type="dxa"/>
                  <w:shd w:val="clear" w:color="auto" w:fill="auto"/>
                  <w:vAlign w:val="center"/>
                </w:tcPr>
                <w:p>
                  <w:pPr>
                    <w:jc w:val="cente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bCs/>
                    </w:rPr>
                  </w:pPr>
                  <w:r>
                    <w:rPr>
                      <w:rFonts w:hint="eastAsia"/>
                      <w:bCs/>
                    </w:rPr>
                    <w:sym w:font="Wingdings" w:char="00FE"/>
                  </w:r>
                  <w:r>
                    <w:rPr>
                      <w:rFonts w:hint="eastAsia"/>
                      <w:bCs/>
                      <w:lang w:val="en-GB"/>
                    </w:rPr>
                    <w:t>农药残留</w:t>
                  </w:r>
                  <w:r>
                    <w:rPr>
                      <w:rFonts w:hint="eastAsia"/>
                      <w:bCs/>
                    </w:rPr>
                    <w:t xml:space="preserve">  </w:t>
                  </w:r>
                  <w:r>
                    <w:rPr>
                      <w:rFonts w:hint="eastAsia"/>
                    </w:rPr>
                    <w:sym w:font="Wingdings" w:char="00A8"/>
                  </w:r>
                  <w:r>
                    <w:rPr>
                      <w:rFonts w:hint="eastAsia"/>
                      <w:bCs/>
                    </w:rPr>
                    <w:t>兽</w:t>
                  </w:r>
                  <w:r>
                    <w:rPr>
                      <w:rFonts w:hint="eastAsia"/>
                      <w:bCs/>
                      <w:lang w:val="en-GB"/>
                    </w:rPr>
                    <w:t>药残留</w:t>
                  </w:r>
                </w:p>
              </w:tc>
              <w:tc>
                <w:tcPr>
                  <w:tcW w:w="3476" w:type="dxa"/>
                  <w:shd w:val="clear" w:color="auto" w:fill="auto"/>
                  <w:vAlign w:val="center"/>
                </w:tcPr>
                <w:p>
                  <w:pPr>
                    <w:autoSpaceDE w:val="0"/>
                    <w:autoSpaceDN w:val="0"/>
                    <w:adjustRightInd w:val="0"/>
                    <w:jc w:val="center"/>
                    <w:rPr>
                      <w:bCs/>
                    </w:rPr>
                  </w:pPr>
                  <w:r>
                    <w:rPr>
                      <w:rFonts w:hint="eastAsia"/>
                    </w:rPr>
                    <w:sym w:font="Wingdings" w:char="00FE"/>
                  </w:r>
                  <w:r>
                    <w:rPr>
                      <w:rFonts w:hint="eastAsia"/>
                      <w:bCs/>
                    </w:rPr>
                    <w:t>向供方索取检测报告</w:t>
                  </w:r>
                </w:p>
                <w:p>
                  <w:pPr>
                    <w:autoSpaceDE w:val="0"/>
                    <w:autoSpaceDN w:val="0"/>
                    <w:adjustRightInd w:val="0"/>
                    <w:jc w:val="center"/>
                    <w:rPr>
                      <w:rFonts w:hint="eastAsia" w:eastAsia="宋体"/>
                      <w:bCs/>
                      <w:lang w:eastAsia="zh-CN"/>
                    </w:rPr>
                  </w:pPr>
                  <w:r>
                    <w:rPr>
                      <w:rFonts w:hint="eastAsia"/>
                      <w:bCs/>
                    </w:rPr>
                    <w:sym w:font="Wingdings" w:char="00FE"/>
                  </w:r>
                  <w:r>
                    <w:rPr>
                      <w:rFonts w:hint="eastAsia"/>
                      <w:bCs/>
                    </w:rPr>
                    <w:t>企业自行检测</w:t>
                  </w:r>
                  <w:r>
                    <w:rPr>
                      <w:rFonts w:hint="eastAsia"/>
                      <w:bCs/>
                      <w:lang w:eastAsia="zh-CN"/>
                    </w:rPr>
                    <w:t>（</w:t>
                  </w:r>
                  <w:r>
                    <w:rPr>
                      <w:rFonts w:hint="eastAsia"/>
                      <w:bCs/>
                      <w:lang w:val="en-US" w:eastAsia="zh-CN"/>
                    </w:rPr>
                    <w:t>重金属镉</w:t>
                  </w:r>
                  <w:r>
                    <w:rPr>
                      <w:rFonts w:hint="eastAsia"/>
                      <w:bCs/>
                      <w:lang w:eastAsia="zh-CN"/>
                    </w:rPr>
                    <w:t>）</w:t>
                  </w:r>
                </w:p>
                <w:p>
                  <w:pPr>
                    <w:autoSpaceDE w:val="0"/>
                    <w:autoSpaceDN w:val="0"/>
                    <w:adjustRightInd w:val="0"/>
                    <w:jc w:val="center"/>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vAlign w:val="center"/>
                </w:tcPr>
                <w:p>
                  <w:pPr>
                    <w:autoSpaceDE w:val="0"/>
                    <w:autoSpaceDN w:val="0"/>
                    <w:adjustRightInd w:val="0"/>
                    <w:jc w:val="center"/>
                    <w:rPr>
                      <w:bCs/>
                      <w:lang w:val="en-GB"/>
                    </w:rPr>
                  </w:pPr>
                  <w:r>
                    <w:rPr>
                      <w:rFonts w:hint="eastAsia"/>
                      <w:bCs/>
                    </w:rPr>
                    <w:t>水</w:t>
                  </w:r>
                </w:p>
              </w:tc>
              <w:tc>
                <w:tcPr>
                  <w:tcW w:w="2905" w:type="dxa"/>
                  <w:shd w:val="clear" w:color="auto" w:fill="auto"/>
                  <w:vAlign w:val="center"/>
                </w:tcPr>
                <w:p>
                  <w:pPr>
                    <w:jc w:val="cente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p>
                <w:p>
                  <w:pPr>
                    <w:autoSpaceDE w:val="0"/>
                    <w:autoSpaceDN w:val="0"/>
                    <w:adjustRightInd w:val="0"/>
                    <w:jc w:val="center"/>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jc w:val="cente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vAlign w:val="center"/>
                </w:tcPr>
                <w:p>
                  <w:pPr>
                    <w:autoSpaceDE w:val="0"/>
                    <w:autoSpaceDN w:val="0"/>
                    <w:adjustRightInd w:val="0"/>
                    <w:jc w:val="center"/>
                    <w:rPr>
                      <w:bCs/>
                    </w:rPr>
                  </w:pPr>
                  <w:r>
                    <w:rPr>
                      <w:rFonts w:hint="eastAsia"/>
                      <w:bCs/>
                    </w:rPr>
                    <w:sym w:font="Wingdings" w:char="00FE"/>
                  </w:r>
                  <w:r>
                    <w:rPr>
                      <w:rFonts w:hint="eastAsia"/>
                      <w:bCs/>
                    </w:rPr>
                    <w:t>向供方索取检测报告</w:t>
                  </w:r>
                </w:p>
                <w:p>
                  <w:pPr>
                    <w:autoSpaceDE w:val="0"/>
                    <w:autoSpaceDN w:val="0"/>
                    <w:adjustRightInd w:val="0"/>
                    <w:jc w:val="center"/>
                    <w:rPr>
                      <w:bCs/>
                    </w:rPr>
                  </w:pPr>
                  <w:r>
                    <w:rPr>
                      <w:rFonts w:hint="eastAsia"/>
                      <w:bCs/>
                    </w:rPr>
                    <w:sym w:font="Wingdings" w:char="00A8"/>
                  </w:r>
                  <w:r>
                    <w:rPr>
                      <w:rFonts w:hint="eastAsia"/>
                      <w:bCs/>
                    </w:rPr>
                    <w:t>企业自行检测</w:t>
                  </w:r>
                </w:p>
                <w:p>
                  <w:pPr>
                    <w:autoSpaceDE w:val="0"/>
                    <w:autoSpaceDN w:val="0"/>
                    <w:adjustRightInd w:val="0"/>
                    <w:jc w:val="center"/>
                    <w:rPr>
                      <w:bCs/>
                    </w:rPr>
                  </w:pPr>
                  <w:r>
                    <w:rPr>
                      <w:rFonts w:hint="eastAsia"/>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autoSpaceDE w:val="0"/>
                    <w:autoSpaceDN w:val="0"/>
                    <w:adjustRightInd w:val="0"/>
                    <w:jc w:val="center"/>
                    <w:rPr>
                      <w:rFonts w:hint="default" w:eastAsia="宋体"/>
                      <w:bCs/>
                      <w:highlight w:val="none"/>
                      <w:lang w:val="en-US" w:eastAsia="zh-CN"/>
                    </w:rPr>
                  </w:pPr>
                  <w:r>
                    <w:rPr>
                      <w:rFonts w:hint="eastAsia"/>
                      <w:bCs/>
                      <w:highlight w:val="none"/>
                      <w:lang w:val="en-US" w:eastAsia="zh-CN"/>
                    </w:rPr>
                    <w:t>编织袋、食品用塑料编织袋（复合塑料编织袋）</w:t>
                  </w:r>
                </w:p>
              </w:tc>
              <w:tc>
                <w:tcPr>
                  <w:tcW w:w="2905" w:type="dxa"/>
                  <w:shd w:val="clear" w:color="auto" w:fill="auto"/>
                  <w:vAlign w:val="center"/>
                </w:tcPr>
                <w:p>
                  <w:pPr>
                    <w:ind w:firstLine="210" w:firstLineChars="100"/>
                    <w:jc w:val="both"/>
                    <w:rPr>
                      <w:bCs/>
                      <w:highlight w:val="none"/>
                      <w:lang w:val="en-GB"/>
                    </w:rPr>
                  </w:pPr>
                  <w:r>
                    <w:rPr>
                      <w:rFonts w:hint="eastAsia"/>
                      <w:bCs/>
                      <w:highlight w:val="none"/>
                    </w:rPr>
                    <w:sym w:font="Wingdings" w:char="00A8"/>
                  </w:r>
                  <w:r>
                    <w:rPr>
                      <w:rFonts w:hint="eastAsia"/>
                      <w:bCs/>
                      <w:highlight w:val="none"/>
                      <w:lang w:val="en-GB"/>
                    </w:rPr>
                    <w:t>有害微生物</w:t>
                  </w:r>
                  <w:r>
                    <w:rPr>
                      <w:rFonts w:hint="eastAsia"/>
                      <w:bCs/>
                      <w:highlight w:val="none"/>
                    </w:rPr>
                    <w:t xml:space="preserve"> </w:t>
                  </w:r>
                  <w:r>
                    <w:rPr>
                      <w:rFonts w:hint="eastAsia"/>
                      <w:highlight w:val="none"/>
                    </w:rPr>
                    <w:sym w:font="Wingdings" w:char="00FE"/>
                  </w:r>
                  <w:r>
                    <w:rPr>
                      <w:rFonts w:hint="eastAsia"/>
                      <w:bCs/>
                      <w:highlight w:val="none"/>
                      <w:lang w:val="en-GB"/>
                    </w:rPr>
                    <w:t>重金属</w:t>
                  </w:r>
                </w:p>
                <w:p>
                  <w:pPr>
                    <w:autoSpaceDE w:val="0"/>
                    <w:autoSpaceDN w:val="0"/>
                    <w:adjustRightInd w:val="0"/>
                    <w:ind w:firstLine="210" w:firstLineChars="100"/>
                    <w:rPr>
                      <w:bCs/>
                      <w:highlight w:val="none"/>
                      <w:lang w:val="en-GB"/>
                    </w:rPr>
                  </w:pPr>
                  <w:r>
                    <w:rPr>
                      <w:rFonts w:hint="eastAsia"/>
                      <w:highlight w:val="none"/>
                    </w:rPr>
                    <w:sym w:font="Wingdings" w:char="00FE"/>
                  </w:r>
                  <w:r>
                    <w:rPr>
                      <w:rFonts w:hint="eastAsia"/>
                      <w:highlight w:val="none"/>
                      <w:lang w:val="en-US" w:eastAsia="zh-CN"/>
                    </w:rPr>
                    <w:t>溶剂残留</w:t>
                  </w:r>
                  <w:r>
                    <w:rPr>
                      <w:rFonts w:hint="eastAsia"/>
                      <w:bCs/>
                      <w:highlight w:val="none"/>
                      <w:lang w:val="en-US" w:eastAsia="zh-CN"/>
                    </w:rPr>
                    <w:t xml:space="preserve">   </w:t>
                  </w:r>
                  <w:r>
                    <w:rPr>
                      <w:rFonts w:hint="eastAsia"/>
                      <w:bCs/>
                      <w:highlight w:val="none"/>
                    </w:rPr>
                    <w:sym w:font="Wingdings" w:char="00A8"/>
                  </w:r>
                  <w:r>
                    <w:rPr>
                      <w:rFonts w:hint="eastAsia"/>
                      <w:bCs/>
                      <w:highlight w:val="none"/>
                      <w:lang w:val="en-GB"/>
                    </w:rPr>
                    <w:t>苯并芘</w:t>
                  </w:r>
                </w:p>
                <w:p>
                  <w:pPr>
                    <w:jc w:val="center"/>
                    <w:rPr>
                      <w:bCs/>
                      <w:highlight w:val="none"/>
                      <w:lang w:val="en-GB"/>
                    </w:rPr>
                  </w:pPr>
                  <w:r>
                    <w:rPr>
                      <w:rFonts w:hint="eastAsia"/>
                      <w:highlight w:val="none"/>
                    </w:rPr>
                    <w:sym w:font="Wingdings" w:char="00A8"/>
                  </w:r>
                  <w:r>
                    <w:rPr>
                      <w:rFonts w:hint="eastAsia"/>
                      <w:bCs/>
                      <w:highlight w:val="none"/>
                      <w:lang w:val="en-GB"/>
                    </w:rPr>
                    <w:t>农药残留</w:t>
                  </w:r>
                  <w:r>
                    <w:rPr>
                      <w:rFonts w:hint="eastAsia"/>
                      <w:bCs/>
                      <w:highlight w:val="none"/>
                    </w:rPr>
                    <w:t xml:space="preserve">  </w:t>
                  </w:r>
                  <w:r>
                    <w:rPr>
                      <w:rFonts w:hint="eastAsia"/>
                      <w:bCs/>
                      <w:highlight w:val="none"/>
                      <w:lang w:val="en-US" w:eastAsia="zh-CN"/>
                    </w:rPr>
                    <w:t xml:space="preserve"> </w:t>
                  </w:r>
                  <w:r>
                    <w:rPr>
                      <w:rFonts w:hint="eastAsia"/>
                      <w:bCs/>
                      <w:highlight w:val="none"/>
                    </w:rPr>
                    <w:sym w:font="Wingdings" w:char="00A8"/>
                  </w:r>
                  <w:r>
                    <w:rPr>
                      <w:rFonts w:hint="eastAsia"/>
                      <w:bCs/>
                      <w:highlight w:val="none"/>
                    </w:rPr>
                    <w:t>兽</w:t>
                  </w:r>
                  <w:r>
                    <w:rPr>
                      <w:rFonts w:hint="eastAsia"/>
                      <w:bCs/>
                      <w:highlight w:val="none"/>
                      <w:lang w:val="en-GB"/>
                    </w:rPr>
                    <w:t>药残留</w:t>
                  </w:r>
                </w:p>
              </w:tc>
              <w:tc>
                <w:tcPr>
                  <w:tcW w:w="3476" w:type="dxa"/>
                  <w:shd w:val="clear" w:color="auto" w:fill="auto"/>
                  <w:vAlign w:val="center"/>
                </w:tcPr>
                <w:p>
                  <w:pPr>
                    <w:autoSpaceDE w:val="0"/>
                    <w:autoSpaceDN w:val="0"/>
                    <w:adjustRightInd w:val="0"/>
                    <w:jc w:val="center"/>
                    <w:rPr>
                      <w:bCs/>
                      <w:highlight w:val="none"/>
                    </w:rPr>
                  </w:pPr>
                  <w:r>
                    <w:rPr>
                      <w:rFonts w:hint="eastAsia"/>
                      <w:highlight w:val="none"/>
                    </w:rPr>
                    <w:sym w:font="Wingdings" w:char="00FE"/>
                  </w:r>
                  <w:r>
                    <w:rPr>
                      <w:rFonts w:hint="eastAsia"/>
                      <w:bCs/>
                      <w:highlight w:val="none"/>
                    </w:rPr>
                    <w:t>向供方索取检测报告</w:t>
                  </w:r>
                </w:p>
                <w:p>
                  <w:pPr>
                    <w:autoSpaceDE w:val="0"/>
                    <w:autoSpaceDN w:val="0"/>
                    <w:adjustRightInd w:val="0"/>
                    <w:jc w:val="center"/>
                    <w:rPr>
                      <w:bCs/>
                      <w:highlight w:val="none"/>
                    </w:rPr>
                  </w:pPr>
                  <w:r>
                    <w:rPr>
                      <w:rFonts w:hint="eastAsia"/>
                      <w:bCs/>
                      <w:highlight w:val="none"/>
                    </w:rPr>
                    <w:sym w:font="Wingdings" w:char="00A8"/>
                  </w:r>
                  <w:r>
                    <w:rPr>
                      <w:rFonts w:hint="eastAsia"/>
                      <w:bCs/>
                      <w:highlight w:val="none"/>
                    </w:rPr>
                    <w:t>企业自行检测</w:t>
                  </w:r>
                </w:p>
                <w:p>
                  <w:pPr>
                    <w:autoSpaceDE w:val="0"/>
                    <w:autoSpaceDN w:val="0"/>
                    <w:adjustRightInd w:val="0"/>
                    <w:jc w:val="center"/>
                    <w:rPr>
                      <w:bCs/>
                      <w:highlight w:val="none"/>
                    </w:rPr>
                  </w:pPr>
                  <w:r>
                    <w:rPr>
                      <w:rFonts w:hint="eastAsia"/>
                      <w:bCs/>
                      <w:highlight w:val="none"/>
                    </w:rPr>
                    <w:sym w:font="Wingdings" w:char="00A8"/>
                  </w:r>
                  <w:r>
                    <w:rPr>
                      <w:rFonts w:hint="eastAsia"/>
                      <w:bCs/>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305" w:type="dxa"/>
                  <w:shd w:val="clear" w:color="auto" w:fill="auto"/>
                  <w:vAlign w:val="center"/>
                </w:tcPr>
                <w:p>
                  <w:pPr>
                    <w:autoSpaceDE w:val="0"/>
                    <w:autoSpaceDN w:val="0"/>
                    <w:adjustRightInd w:val="0"/>
                    <w:jc w:val="center"/>
                    <w:rPr>
                      <w:bCs/>
                      <w:lang w:val="en-GB"/>
                    </w:rPr>
                  </w:pPr>
                </w:p>
              </w:tc>
              <w:tc>
                <w:tcPr>
                  <w:tcW w:w="2905" w:type="dxa"/>
                  <w:shd w:val="clear" w:color="auto" w:fill="auto"/>
                  <w:vAlign w:val="center"/>
                </w:tcPr>
                <w:p>
                  <w:pPr>
                    <w:jc w:val="center"/>
                    <w:rPr>
                      <w:bCs/>
                    </w:rPr>
                  </w:pPr>
                </w:p>
              </w:tc>
              <w:tc>
                <w:tcPr>
                  <w:tcW w:w="3476" w:type="dxa"/>
                  <w:shd w:val="clear" w:color="auto" w:fill="auto"/>
                  <w:vAlign w:val="center"/>
                </w:tcPr>
                <w:p>
                  <w:pPr>
                    <w:autoSpaceDE w:val="0"/>
                    <w:autoSpaceDN w:val="0"/>
                    <w:adjustRightIn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305" w:type="dxa"/>
                  <w:shd w:val="clear" w:color="auto" w:fill="auto"/>
                  <w:vAlign w:val="center"/>
                </w:tcPr>
                <w:p>
                  <w:pPr>
                    <w:autoSpaceDE w:val="0"/>
                    <w:autoSpaceDN w:val="0"/>
                    <w:adjustRightInd w:val="0"/>
                    <w:jc w:val="center"/>
                    <w:rPr>
                      <w:rFonts w:hint="eastAsia" w:eastAsia="宋体"/>
                      <w:bCs/>
                      <w:lang w:val="en-GB" w:eastAsia="zh-CN"/>
                    </w:rPr>
                  </w:pPr>
                </w:p>
              </w:tc>
              <w:tc>
                <w:tcPr>
                  <w:tcW w:w="2905" w:type="dxa"/>
                  <w:shd w:val="clear" w:color="auto" w:fill="auto"/>
                  <w:vAlign w:val="center"/>
                </w:tcPr>
                <w:p>
                  <w:pPr>
                    <w:jc w:val="center"/>
                    <w:rPr>
                      <w:bCs/>
                      <w:lang w:val="en-GB"/>
                    </w:rPr>
                  </w:pPr>
                </w:p>
              </w:tc>
              <w:tc>
                <w:tcPr>
                  <w:tcW w:w="3476" w:type="dxa"/>
                  <w:shd w:val="clear" w:color="auto" w:fill="auto"/>
                  <w:vAlign w:val="center"/>
                </w:tcPr>
                <w:p>
                  <w:pPr>
                    <w:autoSpaceDE w:val="0"/>
                    <w:autoSpaceDN w:val="0"/>
                    <w:adjustRightInd w:val="0"/>
                    <w:jc w:val="center"/>
                    <w:rPr>
                      <w:bCs/>
                    </w:rPr>
                  </w:pP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6" w:hRule="atLeast"/>
        </w:trPr>
        <w:tc>
          <w:tcPr>
            <w:tcW w:w="680" w:type="dxa"/>
            <w:vMerge w:val="continue"/>
            <w:shd w:val="clear" w:color="auto" w:fill="auto"/>
          </w:tcPr>
          <w:p>
            <w:pPr>
              <w:shd w:val="clear" w:color="auto"/>
            </w:pPr>
          </w:p>
        </w:tc>
        <w:tc>
          <w:tcPr>
            <w:tcW w:w="9634" w:type="dxa"/>
            <w:shd w:val="clear" w:color="auto" w:fill="auto"/>
          </w:tcPr>
          <w:p>
            <w:pPr>
              <w:shd w:val="clear" w:color="auto"/>
              <w:rPr>
                <w:b/>
                <w:bCs/>
              </w:rPr>
            </w:pPr>
            <w:r>
              <w:rPr>
                <w:b/>
                <w:bCs/>
              </w:rPr>
              <w:t>控制措施组合的确认</w:t>
            </w:r>
          </w:p>
          <w:p>
            <w:pPr>
              <w:shd w:val="clear" w:color="auto"/>
            </w:pPr>
            <w:r>
              <w:t>组织就OPRP与CCP的组合能够防止、 消除或将成品中食品安全危害减少到可接受水平进行确认。</w:t>
            </w:r>
          </w:p>
          <w:p>
            <w:pPr>
              <w:shd w:val="clear" w:color="auto"/>
            </w:pPr>
            <w:r>
              <w:t>当确认结果表明上述不能被证实时，组织应对控制措施和（或） 其组合进行修改和重新评估。</w:t>
            </w:r>
          </w:p>
          <w:p>
            <w:pPr>
              <w:shd w:val="clear" w:color="auto"/>
            </w:pPr>
          </w:p>
          <w:p>
            <w:pPr>
              <w:shd w:val="clear" w:color="auto"/>
            </w:pPr>
            <w:r>
              <w:t>修订的例子可包括：</w:t>
            </w:r>
          </w:p>
          <w:p>
            <w:pPr>
              <w:shd w:val="clear" w:color="auto"/>
            </w:pPr>
            <w:r>
              <w:rPr>
                <w:rFonts w:hint="eastAsia"/>
              </w:rPr>
              <w:t>——</w:t>
            </w:r>
            <w:r>
              <w:t xml:space="preserve">修改控制措施（例如， 过程参数、 严格度和（或） 其组合） ； </w:t>
            </w:r>
          </w:p>
          <w:p>
            <w:pPr>
              <w:shd w:val="clear" w:color="auto"/>
            </w:pPr>
            <w:r>
              <w:rPr>
                <w:rFonts w:hint="eastAsia"/>
              </w:rPr>
              <w:t>——</w:t>
            </w:r>
            <w:r>
              <w:t>修改原料、工艺技术、成品特性、物流方式、和/或成品预期用途</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35" w:hRule="atLeast"/>
        </w:trPr>
        <w:tc>
          <w:tcPr>
            <w:tcW w:w="680" w:type="dxa"/>
            <w:vMerge w:val="continue"/>
            <w:shd w:val="clear" w:color="auto" w:fill="auto"/>
          </w:tcPr>
          <w:p>
            <w:pPr>
              <w:shd w:val="clear" w:color="auto"/>
            </w:pPr>
          </w:p>
        </w:tc>
        <w:tc>
          <w:tcPr>
            <w:tcW w:w="9634" w:type="dxa"/>
            <w:shd w:val="clear" w:color="auto" w:fill="auto"/>
          </w:tcPr>
          <w:p>
            <w:pPr>
              <w:shd w:val="clear" w:color="auto"/>
              <w:rPr>
                <w:b/>
                <w:bCs/>
              </w:rPr>
            </w:pPr>
            <w:r>
              <w:rPr>
                <w:b/>
                <w:bCs/>
              </w:rPr>
              <w:t>危害控制计划 (HACCP/OPRP 计划)</w:t>
            </w:r>
          </w:p>
          <w:p>
            <w:pPr>
              <w:shd w:val="clear" w:color="auto"/>
            </w:pPr>
            <w:r>
              <w:t>组织建立、 实施和保持HACCP计划。</w:t>
            </w:r>
          </w:p>
          <w:p>
            <w:pPr>
              <w:pStyle w:val="2"/>
              <w:shd w:val="clear"/>
              <w:ind w:left="0" w:leftChars="0" w:firstLine="0" w:firstLineChars="0"/>
              <w:jc w:val="both"/>
              <w:rPr>
                <w:rFonts w:hint="eastAsia" w:ascii="宋体" w:hAnsi="宋体" w:eastAsia="宋体" w:cs="宋体"/>
                <w:lang w:eastAsia="zh-CN"/>
              </w:rPr>
            </w:pPr>
            <w:r>
              <w:rPr>
                <w:rFonts w:hint="eastAsia" w:ascii="宋体" w:hAnsi="宋体" w:cs="宋体"/>
              </w:rPr>
              <w:t>OPRP</w:t>
            </w:r>
            <w:r>
              <w:rPr>
                <w:rFonts w:hint="eastAsia" w:ascii="宋体" w:hAnsi="宋体" w:cs="宋体"/>
                <w:lang w:val="en-US" w:eastAsia="zh-CN"/>
              </w:rPr>
              <w:t>计划</w:t>
            </w:r>
            <w:r>
              <w:rPr>
                <w:rFonts w:hint="eastAsia" w:ascii="宋体" w:hAnsi="宋体" w:cs="宋体"/>
                <w:lang w:eastAsia="zh-CN"/>
              </w:rPr>
              <w:t>：</w:t>
            </w:r>
          </w:p>
          <w:tbl>
            <w:tblPr>
              <w:tblStyle w:val="9"/>
              <w:tblW w:w="893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4"/>
              <w:gridCol w:w="890"/>
              <w:gridCol w:w="1285"/>
              <w:gridCol w:w="2823"/>
              <w:gridCol w:w="2166"/>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90" w:hRule="atLeast"/>
                <w:tblHeader/>
              </w:trPr>
              <w:tc>
                <w:tcPr>
                  <w:tcW w:w="814" w:type="dxa"/>
                  <w:shd w:val="clear" w:color="auto" w:fill="auto"/>
                  <w:vAlign w:val="top"/>
                </w:tcPr>
                <w:p>
                  <w:pPr>
                    <w:pStyle w:val="25"/>
                    <w:shd w:val="clear"/>
                    <w:jc w:val="left"/>
                    <w:rPr>
                      <w:b w:val="0"/>
                      <w:lang w:eastAsia="zh-CN"/>
                    </w:rPr>
                  </w:pPr>
                  <w:r>
                    <w:rPr>
                      <w:rFonts w:hint="eastAsia"/>
                      <w:b w:val="0"/>
                      <w:lang w:eastAsia="zh-CN"/>
                    </w:rPr>
                    <w:t>序号</w:t>
                  </w:r>
                </w:p>
              </w:tc>
              <w:tc>
                <w:tcPr>
                  <w:tcW w:w="890" w:type="dxa"/>
                  <w:shd w:val="clear" w:color="auto" w:fill="auto"/>
                  <w:vAlign w:val="top"/>
                </w:tcPr>
                <w:p>
                  <w:pPr>
                    <w:pStyle w:val="25"/>
                    <w:shd w:val="clear"/>
                    <w:jc w:val="left"/>
                    <w:rPr>
                      <w:b w:val="0"/>
                      <w:lang w:eastAsia="zh-CN"/>
                    </w:rPr>
                  </w:pPr>
                  <w:r>
                    <w:rPr>
                      <w:rFonts w:hint="eastAsia"/>
                      <w:b w:val="0"/>
                      <w:lang w:eastAsia="zh-CN"/>
                    </w:rPr>
                    <w:t xml:space="preserve"> 过程步骤</w:t>
                  </w:r>
                </w:p>
              </w:tc>
              <w:tc>
                <w:tcPr>
                  <w:tcW w:w="1285" w:type="dxa"/>
                  <w:shd w:val="clear" w:color="auto" w:fill="auto"/>
                  <w:vAlign w:val="top"/>
                </w:tcPr>
                <w:p>
                  <w:pPr>
                    <w:pStyle w:val="25"/>
                    <w:shd w:val="clear"/>
                    <w:jc w:val="left"/>
                    <w:rPr>
                      <w:b w:val="0"/>
                      <w:lang w:eastAsia="zh-CN"/>
                    </w:rPr>
                  </w:pPr>
                  <w:r>
                    <w:rPr>
                      <w:rFonts w:hint="eastAsia"/>
                      <w:b w:val="0"/>
                      <w:lang w:val="en-US" w:eastAsia="zh-CN"/>
                    </w:rPr>
                    <w:t>食品安全</w:t>
                  </w:r>
                  <w:r>
                    <w:rPr>
                      <w:rFonts w:hint="eastAsia"/>
                      <w:b w:val="0"/>
                      <w:lang w:eastAsia="zh-CN"/>
                    </w:rPr>
                    <w:t>危害</w:t>
                  </w:r>
                </w:p>
              </w:tc>
              <w:tc>
                <w:tcPr>
                  <w:tcW w:w="2823" w:type="dxa"/>
                  <w:shd w:val="clear" w:color="auto" w:fill="auto"/>
                  <w:vAlign w:val="top"/>
                </w:tcPr>
                <w:p>
                  <w:pPr>
                    <w:pStyle w:val="25"/>
                    <w:shd w:val="clear"/>
                    <w:jc w:val="left"/>
                    <w:rPr>
                      <w:b w:val="0"/>
                      <w:lang w:val="fr-FR" w:eastAsia="zh-CN"/>
                    </w:rPr>
                  </w:pPr>
                  <w:r>
                    <w:rPr>
                      <w:rFonts w:hint="eastAsia"/>
                      <w:b w:val="0"/>
                      <w:lang w:val="fr-FR" w:eastAsia="zh-CN"/>
                    </w:rPr>
                    <w:t xml:space="preserve"> </w:t>
                  </w:r>
                  <w:r>
                    <w:rPr>
                      <w:rFonts w:hint="eastAsia"/>
                      <w:b w:val="0"/>
                      <w:lang w:val="en-US" w:eastAsia="zh-CN"/>
                    </w:rPr>
                    <w:t>操作</w:t>
                  </w:r>
                  <w:r>
                    <w:rPr>
                      <w:rFonts w:hint="eastAsia"/>
                      <w:b w:val="0"/>
                      <w:lang w:val="fr-FR" w:eastAsia="zh-CN"/>
                    </w:rPr>
                    <w:t>限值</w:t>
                  </w:r>
                </w:p>
              </w:tc>
              <w:tc>
                <w:tcPr>
                  <w:tcW w:w="2166" w:type="dxa"/>
                  <w:shd w:val="clear" w:color="auto" w:fill="auto"/>
                  <w:vAlign w:val="top"/>
                </w:tcPr>
                <w:p>
                  <w:pPr>
                    <w:pStyle w:val="25"/>
                    <w:shd w:val="clear"/>
                    <w:jc w:val="left"/>
                    <w:rPr>
                      <w:b w:val="0"/>
                      <w:lang w:eastAsia="zh-CN"/>
                    </w:rPr>
                  </w:pPr>
                  <w:r>
                    <w:rPr>
                      <w:rFonts w:hint="eastAsia"/>
                      <w:b w:val="0"/>
                      <w:lang w:eastAsia="zh-CN"/>
                    </w:rPr>
                    <w:t>监控程序</w:t>
                  </w:r>
                </w:p>
              </w:tc>
              <w:tc>
                <w:tcPr>
                  <w:tcW w:w="959" w:type="dxa"/>
                  <w:shd w:val="clear" w:color="auto" w:fill="auto"/>
                  <w:vAlign w:val="top"/>
                </w:tcPr>
                <w:p>
                  <w:pPr>
                    <w:pStyle w:val="25"/>
                    <w:shd w:val="clear"/>
                    <w:jc w:val="left"/>
                    <w:rPr>
                      <w:b w:val="0"/>
                      <w:lang w:val="en-US"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517" w:hRule="atLeast"/>
              </w:trPr>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sz w:val="18"/>
                      <w:szCs w:val="18"/>
                    </w:rPr>
                  </w:pPr>
                  <w:r>
                    <w:rPr>
                      <w:rFonts w:hint="eastAsia" w:ascii="宋体" w:hAnsi="宋体" w:cs="宋体"/>
                      <w:kern w:val="0"/>
                      <w:sz w:val="18"/>
                      <w:szCs w:val="18"/>
                    </w:rPr>
                    <w:t>OPRP</w:t>
                  </w:r>
                  <w:r>
                    <w:rPr>
                      <w:rFonts w:ascii="宋体" w:hAnsi="宋体" w:cs="宋体"/>
                      <w:kern w:val="0"/>
                      <w:sz w:val="18"/>
                      <w:szCs w:val="18"/>
                    </w:rPr>
                    <w:t>1</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left="210" w:hanging="180" w:hangingChars="100"/>
                    <w:rPr>
                      <w:rFonts w:hint="eastAsia"/>
                      <w:sz w:val="18"/>
                      <w:szCs w:val="18"/>
                    </w:rPr>
                  </w:pPr>
                  <w:r>
                    <w:rPr>
                      <w:rFonts w:hint="eastAsia"/>
                      <w:sz w:val="18"/>
                      <w:szCs w:val="18"/>
                    </w:rPr>
                    <w:t>原料验收:</w:t>
                  </w:r>
                </w:p>
                <w:p>
                  <w:pPr>
                    <w:spacing w:line="300" w:lineRule="exact"/>
                    <w:jc w:val="center"/>
                    <w:rPr>
                      <w:rFonts w:hint="default" w:ascii="宋体" w:hAnsi="宋体" w:eastAsia="宋体" w:cs="Times New Roman"/>
                      <w:b/>
                      <w:kern w:val="2"/>
                      <w:sz w:val="18"/>
                      <w:szCs w:val="18"/>
                      <w:highlight w:val="none"/>
                      <w:lang w:val="en-US" w:eastAsia="zh-CN" w:bidi="ar-SA"/>
                    </w:rPr>
                  </w:pPr>
                  <w:r>
                    <w:rPr>
                      <w:rFonts w:hint="eastAsia" w:ascii="宋体" w:hAnsi="宋体" w:eastAsia="宋体"/>
                      <w:sz w:val="18"/>
                      <w:szCs w:val="18"/>
                      <w:lang w:eastAsia="zh-CN"/>
                    </w:rPr>
                    <w:t>稻谷</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eastAsia="zh-CN"/>
                    </w:rPr>
                    <w:t>化学危害：农药残留、重金属超标、黄曲霉毒素B1</w:t>
                  </w:r>
                  <w:r>
                    <w:rPr>
                      <w:rFonts w:hint="eastAsia" w:ascii="宋体" w:hAnsi="宋体"/>
                      <w:sz w:val="18"/>
                      <w:szCs w:val="18"/>
                      <w:lang w:val="en-US" w:eastAsia="zh-CN"/>
                    </w:rPr>
                    <w:t>超标</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9"/>
                    </w:numPr>
                    <w:spacing w:line="240" w:lineRule="exact"/>
                    <w:jc w:val="both"/>
                    <w:rPr>
                      <w:rFonts w:hint="default"/>
                      <w:sz w:val="18"/>
                      <w:szCs w:val="18"/>
                      <w:lang w:val="en-US" w:eastAsia="zh-CN"/>
                    </w:rPr>
                  </w:pPr>
                  <w:r>
                    <w:rPr>
                      <w:rFonts w:hint="eastAsia"/>
                      <w:sz w:val="18"/>
                      <w:szCs w:val="18"/>
                      <w:lang w:val="en-US" w:eastAsia="zh-CN"/>
                    </w:rPr>
                    <w:t>从合格供方采购</w:t>
                  </w:r>
                </w:p>
                <w:p>
                  <w:pPr>
                    <w:pStyle w:val="2"/>
                    <w:numPr>
                      <w:ilvl w:val="0"/>
                      <w:numId w:val="9"/>
                    </w:numPr>
                    <w:tabs>
                      <w:tab w:val="clear" w:pos="1560"/>
                      <w:tab w:val="clear" w:pos="1985"/>
                    </w:tabs>
                    <w:ind w:left="0" w:leftChars="0" w:firstLine="0" w:firstLineChars="0"/>
                    <w:rPr>
                      <w:rFonts w:hint="default"/>
                      <w:sz w:val="18"/>
                      <w:szCs w:val="18"/>
                      <w:lang w:val="en-US" w:eastAsia="zh-CN"/>
                    </w:rPr>
                  </w:pPr>
                  <w:r>
                    <w:rPr>
                      <w:rFonts w:hint="eastAsia"/>
                      <w:sz w:val="18"/>
                      <w:szCs w:val="18"/>
                      <w:lang w:val="en-US" w:eastAsia="zh-CN"/>
                    </w:rPr>
                    <w:t>索取合格的第三方检测报告</w:t>
                  </w:r>
                </w:p>
                <w:p>
                  <w:pPr>
                    <w:pStyle w:val="2"/>
                    <w:numPr>
                      <w:ilvl w:val="0"/>
                      <w:numId w:val="9"/>
                    </w:numPr>
                    <w:tabs>
                      <w:tab w:val="clear" w:pos="1560"/>
                      <w:tab w:val="clear" w:pos="1985"/>
                    </w:tabs>
                    <w:ind w:left="0" w:leftChars="0" w:firstLine="0" w:firstLineChars="0"/>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每批自测重金属镉</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rFonts w:hint="default" w:eastAsia="宋体" w:cs="宋体"/>
                      <w:kern w:val="0"/>
                      <w:sz w:val="18"/>
                      <w:szCs w:val="18"/>
                      <w:lang w:val="en-US" w:eastAsia="zh-CN"/>
                    </w:rPr>
                  </w:pPr>
                  <w:r>
                    <w:rPr>
                      <w:rFonts w:hint="eastAsia"/>
                      <w:sz w:val="18"/>
                      <w:szCs w:val="18"/>
                      <w:highlight w:val="none"/>
                      <w:lang w:val="en-US" w:eastAsia="zh-CN"/>
                    </w:rPr>
                    <w:t>每年索证、</w:t>
                  </w:r>
                  <w:r>
                    <w:rPr>
                      <w:rFonts w:hint="eastAsia"/>
                      <w:color w:val="FF0000"/>
                      <w:sz w:val="18"/>
                      <w:szCs w:val="18"/>
                      <w:highlight w:val="none"/>
                      <w:lang w:val="en-US" w:eastAsia="zh-CN"/>
                    </w:rPr>
                    <w:t>每年索取合格的检测报告</w:t>
                  </w:r>
                  <w:r>
                    <w:rPr>
                      <w:rFonts w:hint="eastAsia"/>
                      <w:sz w:val="18"/>
                      <w:szCs w:val="18"/>
                      <w:highlight w:val="none"/>
                      <w:lang w:val="en-US" w:eastAsia="zh-CN"/>
                    </w:rPr>
                    <w:t>，每批自测重金属镉</w:t>
                  </w:r>
                </w:p>
              </w:tc>
              <w:tc>
                <w:tcPr>
                  <w:tcW w:w="959"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rFonts w:hint="default" w:eastAsia="宋体"/>
                      <w:sz w:val="18"/>
                      <w:szCs w:val="18"/>
                      <w:lang w:val="en-US" w:eastAsia="zh-CN"/>
                    </w:rPr>
                  </w:pPr>
                  <w:r>
                    <w:rPr>
                      <w:rFonts w:hint="eastAsia" w:cs="宋体"/>
                      <w:kern w:val="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56" w:hRule="atLeast"/>
              </w:trPr>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sz w:val="18"/>
                      <w:szCs w:val="18"/>
                    </w:rPr>
                  </w:pPr>
                  <w:r>
                    <w:rPr>
                      <w:rFonts w:hint="eastAsia" w:ascii="宋体" w:hAnsi="宋体" w:cs="宋体"/>
                      <w:kern w:val="0"/>
                      <w:sz w:val="18"/>
                      <w:szCs w:val="18"/>
                    </w:rPr>
                    <w:t>OPRP2</w:t>
                  </w:r>
                </w:p>
              </w:tc>
              <w:tc>
                <w:tcPr>
                  <w:tcW w:w="8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default" w:ascii="宋体" w:hAnsi="宋体" w:eastAsia="宋体" w:cs="Times New Roman"/>
                      <w:kern w:val="2"/>
                      <w:sz w:val="18"/>
                      <w:szCs w:val="18"/>
                      <w:lang w:val="en-US" w:eastAsia="zh-CN" w:bidi="ar-SA"/>
                    </w:rPr>
                  </w:pPr>
                  <w:r>
                    <w:rPr>
                      <w:rFonts w:hint="eastAsia" w:ascii="宋体" w:hAnsi="宋体"/>
                      <w:sz w:val="18"/>
                      <w:szCs w:val="18"/>
                      <w:lang w:val="en-US" w:eastAsia="zh-CN"/>
                    </w:rPr>
                    <w:t>磁选</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eastAsia" w:ascii="宋体" w:hAnsi="宋体" w:eastAsia="宋体" w:cs="Times New Roman"/>
                      <w:kern w:val="2"/>
                      <w:sz w:val="18"/>
                      <w:szCs w:val="18"/>
                      <w:lang w:val="fr-FR" w:eastAsia="zh-CN" w:bidi="ar-SA"/>
                    </w:rPr>
                  </w:pPr>
                  <w:r>
                    <w:rPr>
                      <w:rFonts w:hint="eastAsia" w:ascii="宋体" w:hAnsi="宋体"/>
                      <w:sz w:val="18"/>
                      <w:szCs w:val="18"/>
                      <w:lang w:eastAsia="zh-CN"/>
                    </w:rPr>
                    <w:t>磁性金属物</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ind w:left="0" w:leftChars="0" w:firstLine="0" w:firstLineChars="0"/>
                    <w:jc w:val="left"/>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定期清理磁选设备，具备行业经验的操作工验证磁性大小</w:t>
                  </w:r>
                </w:p>
              </w:tc>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hint="default" w:ascii="宋体" w:hAnsi="宋体" w:eastAsia="宋体" w:cs="Times New Roman"/>
                      <w:kern w:val="2"/>
                      <w:sz w:val="18"/>
                      <w:szCs w:val="18"/>
                      <w:highlight w:val="none"/>
                      <w:lang w:val="en-US" w:eastAsia="zh-CN" w:bidi="ar-SA"/>
                    </w:rPr>
                  </w:pPr>
                  <w:r>
                    <w:rPr>
                      <w:rFonts w:hint="eastAsia" w:ascii="宋体" w:hAnsi="宋体" w:eastAsia="宋体"/>
                      <w:sz w:val="18"/>
                      <w:szCs w:val="18"/>
                      <w:highlight w:val="none"/>
                      <w:lang w:val="en-US" w:eastAsia="zh-CN"/>
                    </w:rPr>
                    <w:t>每3天进行1次</w:t>
                  </w:r>
                </w:p>
              </w:tc>
              <w:tc>
                <w:tcPr>
                  <w:tcW w:w="959"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rFonts w:hint="eastAsia" w:eastAsia="宋体"/>
                      <w:bCs/>
                      <w:sz w:val="18"/>
                      <w:szCs w:val="18"/>
                      <w:lang w:eastAsia="zh-CN"/>
                    </w:rPr>
                  </w:pPr>
                  <w:r>
                    <w:rPr>
                      <w:rFonts w:hint="eastAsia" w:cs="宋体"/>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42" w:hRule="atLeast"/>
              </w:trPr>
              <w:tc>
                <w:tcPr>
                  <w:tcW w:w="814"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OPRP3</w:t>
                  </w:r>
                </w:p>
              </w:tc>
              <w:tc>
                <w:tcPr>
                  <w:tcW w:w="89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adjustRightInd w:val="0"/>
                    <w:spacing w:line="220" w:lineRule="exact"/>
                    <w:jc w:val="left"/>
                    <w:textAlignment w:val="baseline"/>
                    <w:rPr>
                      <w:rFonts w:hint="default" w:ascii="仿宋_GB2312" w:eastAsia="宋体" w:cs="宋体"/>
                      <w:kern w:val="0"/>
                      <w:sz w:val="18"/>
                      <w:szCs w:val="18"/>
                      <w:lang w:val="en-US" w:eastAsia="zh-CN"/>
                    </w:rPr>
                  </w:pPr>
                </w:p>
              </w:tc>
              <w:tc>
                <w:tcPr>
                  <w:tcW w:w="1285"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rFonts w:hint="eastAsia" w:ascii="宋体" w:hAnsi="宋体"/>
                      <w:sz w:val="18"/>
                      <w:szCs w:val="18"/>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spacing w:line="280" w:lineRule="exact"/>
                    <w:jc w:val="left"/>
                    <w:rPr>
                      <w:rFonts w:hint="eastAsia" w:ascii="宋体" w:hAnsi="宋体"/>
                      <w:sz w:val="18"/>
                      <w:szCs w:val="18"/>
                    </w:rPr>
                  </w:pPr>
                </w:p>
              </w:tc>
              <w:tc>
                <w:tcPr>
                  <w:tcW w:w="2166"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snapToGrid w:val="0"/>
                    <w:spacing w:line="320" w:lineRule="exact"/>
                    <w:jc w:val="left"/>
                    <w:rPr>
                      <w:rFonts w:hint="eastAsia" w:ascii="宋体" w:hAnsi="宋体"/>
                      <w:sz w:val="18"/>
                      <w:szCs w:val="18"/>
                    </w:rPr>
                  </w:pPr>
                </w:p>
              </w:tc>
              <w:tc>
                <w:tcPr>
                  <w:tcW w:w="959"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rFonts w:hint="eastAsia" w:eastAsia="宋体" w:cs="宋体"/>
                      <w:kern w:val="0"/>
                      <w:sz w:val="18"/>
                      <w:szCs w:val="18"/>
                      <w:lang w:eastAsia="zh-CN"/>
                    </w:rPr>
                  </w:pPr>
                </w:p>
              </w:tc>
            </w:tr>
          </w:tbl>
          <w:p>
            <w:pPr>
              <w:spacing w:before="120" w:line="360" w:lineRule="auto"/>
              <w:rPr>
                <w:rFonts w:hint="default" w:ascii="方正仿宋简体" w:eastAsia="方正仿宋简体"/>
                <w:b/>
                <w:color w:val="FF0000"/>
                <w:lang w:val="en-US" w:eastAsia="zh-CN"/>
              </w:rPr>
            </w:pPr>
            <w:r>
              <w:rPr>
                <w:rFonts w:hint="eastAsia" w:ascii="方正仿宋简体" w:eastAsia="方正仿宋简体"/>
                <w:b/>
                <w:color w:val="FF0000"/>
              </w:rPr>
              <w:t>未按照OPRP</w:t>
            </w:r>
            <w:r>
              <w:rPr>
                <w:rFonts w:hint="eastAsia" w:ascii="方正仿宋简体" w:eastAsia="方正仿宋简体"/>
                <w:b/>
                <w:color w:val="FF0000"/>
                <w:lang w:val="en-US" w:eastAsia="zh-CN"/>
              </w:rPr>
              <w:t>1</w:t>
            </w:r>
            <w:r>
              <w:rPr>
                <w:rFonts w:hint="eastAsia" w:ascii="方正仿宋简体" w:eastAsia="方正仿宋简体"/>
                <w:b/>
                <w:color w:val="FF0000"/>
              </w:rPr>
              <w:t xml:space="preserve"> 规定的要求，提供对稻谷的农药残留（显著危害）进行监控的证明。</w:t>
            </w:r>
            <w:r>
              <w:rPr>
                <w:rFonts w:hint="eastAsia" w:ascii="方正仿宋简体" w:eastAsia="方正仿宋简体"/>
                <w:b/>
                <w:color w:val="FF0000"/>
                <w:lang w:val="en-US" w:eastAsia="zh-CN"/>
              </w:rPr>
              <w:t>见不符合报告03</w:t>
            </w:r>
          </w:p>
          <w:p>
            <w:pPr>
              <w:pStyle w:val="2"/>
              <w:shd w:val="clear"/>
              <w:rPr>
                <w:rFonts w:hint="eastAsia" w:ascii="宋体" w:hAnsi="宋体" w:cs="宋体"/>
                <w:lang w:val="en-GB"/>
              </w:rPr>
            </w:pPr>
          </w:p>
          <w:p>
            <w:pPr>
              <w:pStyle w:val="2"/>
              <w:shd w:val="clear"/>
              <w:rPr>
                <w:rFonts w:hint="eastAsia" w:ascii="宋体" w:hAnsi="宋体" w:cs="宋体"/>
                <w:lang w:val="en-GB"/>
              </w:rPr>
            </w:pPr>
          </w:p>
          <w:p>
            <w:pPr>
              <w:shd w:val="clear"/>
              <w:spacing w:before="240" w:after="120"/>
              <w:rPr>
                <w:rFonts w:hint="eastAsia" w:ascii="宋体" w:hAnsi="宋体" w:cs="宋体"/>
                <w:lang w:val="en-GB" w:eastAsia="zh-CN"/>
              </w:rPr>
            </w:pPr>
            <w:r>
              <w:rPr>
                <w:rFonts w:hint="eastAsia" w:ascii="宋体" w:hAnsi="宋体" w:cs="宋体"/>
                <w:lang w:val="en-GB"/>
              </w:rPr>
              <w:t>HACCP计划1</w:t>
            </w:r>
          </w:p>
          <w:tbl>
            <w:tblPr>
              <w:tblStyle w:val="9"/>
              <w:tblW w:w="923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33"/>
              <w:gridCol w:w="1155"/>
              <w:gridCol w:w="1010"/>
              <w:gridCol w:w="3070"/>
              <w:gridCol w:w="2508"/>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8" w:hRule="atLeast"/>
                <w:tblHeader/>
              </w:trPr>
              <w:tc>
                <w:tcPr>
                  <w:tcW w:w="733" w:type="dxa"/>
                  <w:shd w:val="clear" w:color="auto" w:fill="auto"/>
                </w:tcPr>
                <w:p>
                  <w:pPr>
                    <w:pStyle w:val="25"/>
                    <w:shd w:val="clear"/>
                    <w:rPr>
                      <w:lang w:eastAsia="zh-CN"/>
                    </w:rPr>
                  </w:pPr>
                  <w:r>
                    <w:rPr>
                      <w:rFonts w:hint="eastAsia"/>
                      <w:lang w:eastAsia="zh-CN"/>
                    </w:rPr>
                    <w:t>序号</w:t>
                  </w:r>
                </w:p>
              </w:tc>
              <w:tc>
                <w:tcPr>
                  <w:tcW w:w="1155" w:type="dxa"/>
                  <w:shd w:val="clear" w:color="auto" w:fill="auto"/>
                </w:tcPr>
                <w:p>
                  <w:pPr>
                    <w:pStyle w:val="25"/>
                    <w:shd w:val="clear"/>
                    <w:rPr>
                      <w:lang w:eastAsia="zh-CN"/>
                    </w:rPr>
                  </w:pPr>
                  <w:r>
                    <w:rPr>
                      <w:rFonts w:hint="eastAsia"/>
                      <w:lang w:eastAsia="zh-CN"/>
                    </w:rPr>
                    <w:t>过程步骤</w:t>
                  </w:r>
                </w:p>
              </w:tc>
              <w:tc>
                <w:tcPr>
                  <w:tcW w:w="1010" w:type="dxa"/>
                  <w:shd w:val="clear" w:color="auto" w:fill="auto"/>
                </w:tcPr>
                <w:p>
                  <w:pPr>
                    <w:pStyle w:val="25"/>
                    <w:shd w:val="clear"/>
                    <w:rPr>
                      <w:lang w:eastAsia="zh-CN"/>
                    </w:rPr>
                  </w:pPr>
                  <w:r>
                    <w:rPr>
                      <w:rFonts w:hint="eastAsia"/>
                      <w:lang w:eastAsia="zh-CN"/>
                    </w:rPr>
                    <w:t>危害</w:t>
                  </w:r>
                </w:p>
              </w:tc>
              <w:tc>
                <w:tcPr>
                  <w:tcW w:w="3070" w:type="dxa"/>
                  <w:shd w:val="clear" w:color="auto" w:fill="auto"/>
                </w:tcPr>
                <w:p>
                  <w:pPr>
                    <w:pStyle w:val="25"/>
                    <w:shd w:val="clear"/>
                    <w:rPr>
                      <w:lang w:eastAsia="zh-CN"/>
                    </w:rPr>
                  </w:pPr>
                  <w:r>
                    <w:rPr>
                      <w:rFonts w:hint="eastAsia"/>
                      <w:lang w:eastAsia="zh-CN"/>
                    </w:rPr>
                    <w:t>监控程序</w:t>
                  </w:r>
                </w:p>
              </w:tc>
              <w:tc>
                <w:tcPr>
                  <w:tcW w:w="2508" w:type="dxa"/>
                  <w:shd w:val="clear" w:color="auto" w:fill="auto"/>
                </w:tcPr>
                <w:p>
                  <w:pPr>
                    <w:pStyle w:val="25"/>
                    <w:shd w:val="clear"/>
                    <w:rPr>
                      <w:lang w:val="fr-FR" w:eastAsia="zh-CN"/>
                    </w:rPr>
                  </w:pPr>
                  <w:r>
                    <w:rPr>
                      <w:rFonts w:hint="eastAsia"/>
                      <w:lang w:val="en-US" w:eastAsia="zh-CN"/>
                    </w:rPr>
                    <w:t>关键限值</w:t>
                  </w:r>
                </w:p>
              </w:tc>
              <w:tc>
                <w:tcPr>
                  <w:tcW w:w="760" w:type="dxa"/>
                  <w:shd w:val="clear" w:color="auto" w:fill="auto"/>
                </w:tcPr>
                <w:p>
                  <w:pPr>
                    <w:pStyle w:val="25"/>
                    <w:shd w:val="clear"/>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trPr>
              <w:tc>
                <w:tcPr>
                  <w:tcW w:w="733"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rPr>
                      <w:rFonts w:hint="eastAsia" w:ascii="Times New Roman" w:hAnsi="Times New Roman" w:eastAsia="宋体" w:cs="Times New Roman"/>
                      <w:kern w:val="2"/>
                      <w:sz w:val="18"/>
                      <w:szCs w:val="18"/>
                      <w:lang w:val="en-US" w:eastAsia="zh-CN" w:bidi="ar-SA"/>
                    </w:rPr>
                  </w:pPr>
                  <w:r>
                    <w:rPr>
                      <w:rFonts w:hint="eastAsia"/>
                      <w:sz w:val="18"/>
                      <w:szCs w:val="18"/>
                    </w:rPr>
                    <w:t>CCP1</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spacing w:line="360" w:lineRule="auto"/>
                    <w:rPr>
                      <w:rFonts w:hint="eastAsia" w:ascii="Times New Roman" w:hAnsi="Times New Roman" w:eastAsia="宋体" w:cs="Times New Roman"/>
                      <w:kern w:val="2"/>
                      <w:sz w:val="18"/>
                      <w:szCs w:val="18"/>
                      <w:lang w:val="en-US" w:eastAsia="zh-CN" w:bidi="ar-SA"/>
                    </w:rPr>
                  </w:pPr>
                  <w:r>
                    <w:rPr>
                      <w:rFonts w:hint="eastAsia"/>
                      <w:sz w:val="18"/>
                      <w:szCs w:val="18"/>
                    </w:rPr>
                    <w:t>去石</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Times New Roman"/>
                      <w:kern w:val="2"/>
                      <w:sz w:val="18"/>
                      <w:szCs w:val="18"/>
                      <w:highlight w:val="none"/>
                      <w:lang w:val="fr-FR" w:eastAsia="zh-CN" w:bidi="ar-SA"/>
                    </w:rPr>
                  </w:pPr>
                  <w:r>
                    <w:rPr>
                      <w:rFonts w:hint="eastAsia"/>
                      <w:sz w:val="18"/>
                      <w:szCs w:val="18"/>
                    </w:rPr>
                    <w:t>石子</w:t>
                  </w:r>
                  <w:r>
                    <w:rPr>
                      <w:rFonts w:hint="eastAsia" w:ascii="宋体" w:hAnsi="宋体"/>
                      <w:sz w:val="18"/>
                      <w:szCs w:val="18"/>
                      <w:highlight w:val="none"/>
                    </w:rPr>
                    <w:t xml:space="preserve"> </w:t>
                  </w:r>
                </w:p>
              </w:tc>
              <w:tc>
                <w:tcPr>
                  <w:tcW w:w="307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kern w:val="2"/>
                      <w:sz w:val="18"/>
                      <w:szCs w:val="18"/>
                      <w:highlight w:val="none"/>
                      <w:lang w:val="en-US" w:eastAsia="zh-CN" w:bidi="ar-SA"/>
                    </w:rPr>
                    <w:t>含粮小于300粒/kg(去石板水平倾斜角10-15°</w:t>
                  </w:r>
                  <w:r>
                    <w:rPr>
                      <w:rFonts w:hint="eastAsia" w:ascii="Times New Roman" w:hAnsi="Times New Roman" w:eastAsia="宋体" w:cs="Times New Roman"/>
                      <w:kern w:val="2"/>
                      <w:sz w:val="18"/>
                      <w:szCs w:val="18"/>
                      <w:highlight w:val="none"/>
                      <w:lang w:val="en-US" w:eastAsia="zh-CN" w:bidi="ar-SA"/>
                    </w:rPr>
                    <w:t>、</w:t>
                  </w:r>
                  <w:r>
                    <w:rPr>
                      <w:rFonts w:hint="default" w:ascii="Times New Roman" w:hAnsi="Times New Roman" w:eastAsia="宋体" w:cs="Times New Roman"/>
                      <w:kern w:val="2"/>
                      <w:sz w:val="18"/>
                      <w:szCs w:val="18"/>
                      <w:highlight w:val="none"/>
                      <w:lang w:val="en-US" w:eastAsia="zh-CN" w:bidi="ar-SA"/>
                    </w:rPr>
                    <w:t>风挡阀门1-5档）</w:t>
                  </w:r>
                </w:p>
              </w:tc>
              <w:tc>
                <w:tcPr>
                  <w:tcW w:w="25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hint="default" w:ascii="宋体" w:hAnsi="宋体" w:eastAsia="宋体" w:cs="Times New Roman"/>
                      <w:kern w:val="2"/>
                      <w:sz w:val="18"/>
                      <w:szCs w:val="18"/>
                      <w:highlight w:val="none"/>
                      <w:lang w:val="en-US" w:eastAsia="zh-CN" w:bidi="ar-SA"/>
                    </w:rPr>
                  </w:pPr>
                  <w:r>
                    <w:rPr>
                      <w:rFonts w:hint="eastAsia"/>
                      <w:sz w:val="18"/>
                      <w:szCs w:val="18"/>
                      <w:lang w:val="en-US" w:eastAsia="zh-CN"/>
                    </w:rPr>
                    <w:t>由操作工在开机时进行检查、之后每3h/次</w:t>
                  </w:r>
                </w:p>
              </w:tc>
              <w:tc>
                <w:tcPr>
                  <w:tcW w:w="760" w:type="dxa"/>
                  <w:tcBorders>
                    <w:top w:val="single" w:color="auto" w:sz="4" w:space="0"/>
                    <w:left w:val="single" w:color="auto" w:sz="4" w:space="0"/>
                    <w:bottom w:val="single" w:color="auto" w:sz="4" w:space="0"/>
                    <w:right w:val="single" w:color="auto" w:sz="4" w:space="0"/>
                  </w:tcBorders>
                  <w:shd w:val="clear" w:color="auto" w:fill="auto"/>
                </w:tcPr>
                <w:p>
                  <w:pPr>
                    <w:shd w:val="clear"/>
                    <w:jc w:val="center"/>
                    <w:rPr>
                      <w:rFonts w:hint="eastAsia" w:eastAsia="宋体"/>
                      <w:color w:val="0000FF"/>
                      <w:highlight w:val="yellow"/>
                      <w:lang w:val="en-US" w:eastAsia="zh-CN"/>
                    </w:rPr>
                  </w:pPr>
                  <w:r>
                    <w:rPr>
                      <w:rFonts w:hint="eastAsia"/>
                      <w:color w:val="auto"/>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trPr>
              <w:tc>
                <w:tcPr>
                  <w:tcW w:w="733" w:type="dxa"/>
                  <w:tcBorders>
                    <w:top w:val="single" w:color="auto" w:sz="4" w:space="0"/>
                    <w:left w:val="single" w:color="auto" w:sz="4" w:space="0"/>
                    <w:bottom w:val="single" w:color="auto" w:sz="4" w:space="0"/>
                    <w:right w:val="single" w:color="auto" w:sz="4" w:space="0"/>
                  </w:tcBorders>
                  <w:shd w:val="clear" w:color="auto" w:fill="auto"/>
                </w:tcPr>
                <w:p>
                  <w:pPr>
                    <w:shd w:val="clear"/>
                    <w:rPr>
                      <w:rFonts w:hint="default" w:eastAsia="宋体"/>
                      <w:color w:val="0000FF"/>
                      <w:sz w:val="18"/>
                      <w:szCs w:val="18"/>
                      <w:highlight w:val="none"/>
                      <w:lang w:val="en-US" w:eastAsia="zh-CN"/>
                    </w:rPr>
                  </w:pPr>
                  <w:r>
                    <w:rPr>
                      <w:rFonts w:hint="eastAsia" w:eastAsia="宋体"/>
                      <w:color w:val="auto"/>
                      <w:sz w:val="18"/>
                      <w:szCs w:val="18"/>
                      <w:highlight w:val="none"/>
                      <w:lang w:val="en-US" w:eastAsia="zh-CN"/>
                    </w:rPr>
                    <w:t>CCP2</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pPr>
                    <w:spacing w:line="360" w:lineRule="auto"/>
                    <w:rPr>
                      <w:rFonts w:hint="default" w:ascii="Times New Roman" w:hAnsi="Times New Roman" w:eastAsia="宋体" w:cs="Times New Roman"/>
                      <w:kern w:val="2"/>
                      <w:sz w:val="18"/>
                      <w:szCs w:val="18"/>
                      <w:lang w:val="en-US" w:eastAsia="zh-CN" w:bidi="ar-SA"/>
                    </w:rPr>
                  </w:pPr>
                  <w:r>
                    <w:rPr>
                      <w:rFonts w:hint="eastAsia"/>
                      <w:sz w:val="18"/>
                      <w:szCs w:val="18"/>
                    </w:rPr>
                    <w:t>色选</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Times New Roman" w:hAnsi="Times New Roman" w:eastAsia="宋体" w:cs="Times New Roman"/>
                      <w:kern w:val="2"/>
                      <w:sz w:val="18"/>
                      <w:szCs w:val="18"/>
                      <w:lang w:val="fr-FR" w:eastAsia="zh-CN" w:bidi="ar-SA"/>
                    </w:rPr>
                  </w:pPr>
                  <w:r>
                    <w:rPr>
                      <w:rFonts w:hint="eastAsia"/>
                      <w:sz w:val="18"/>
                      <w:szCs w:val="18"/>
                    </w:rPr>
                    <w:t>异色粒（含杂质）含量超标</w:t>
                  </w:r>
                </w:p>
              </w:tc>
              <w:tc>
                <w:tcPr>
                  <w:tcW w:w="307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sz w:val="18"/>
                      <w:szCs w:val="18"/>
                    </w:rPr>
                  </w:pPr>
                  <w:r>
                    <w:rPr>
                      <w:rFonts w:hint="eastAsia"/>
                      <w:sz w:val="18"/>
                      <w:szCs w:val="18"/>
                    </w:rPr>
                    <w:t>异色粒含量</w:t>
                  </w:r>
                  <w:r>
                    <w:rPr>
                      <w:rFonts w:hint="eastAsia"/>
                      <w:sz w:val="18"/>
                      <w:szCs w:val="18"/>
                      <w:lang w:val="en-US" w:eastAsia="zh-CN"/>
                    </w:rPr>
                    <w:t>＜1</w:t>
                  </w:r>
                  <w:r>
                    <w:rPr>
                      <w:rFonts w:hint="eastAsia"/>
                      <w:sz w:val="18"/>
                      <w:szCs w:val="18"/>
                    </w:rPr>
                    <w:t>%</w:t>
                  </w:r>
                </w:p>
                <w:p>
                  <w:pPr>
                    <w:jc w:val="left"/>
                    <w:rPr>
                      <w:rFonts w:hint="default" w:ascii="Times New Roman" w:hAnsi="Times New Roman" w:eastAsia="宋体" w:cs="Times New Roman"/>
                      <w:kern w:val="2"/>
                      <w:sz w:val="18"/>
                      <w:szCs w:val="18"/>
                      <w:highlight w:val="none"/>
                      <w:lang w:val="en-US" w:eastAsia="zh-CN" w:bidi="ar-SA"/>
                    </w:rPr>
                  </w:pPr>
                  <w:r>
                    <w:rPr>
                      <w:rFonts w:hint="eastAsia"/>
                      <w:sz w:val="18"/>
                      <w:szCs w:val="18"/>
                      <w:lang w:eastAsia="zh-CN"/>
                    </w:rPr>
                    <w:t>（一</w:t>
                  </w:r>
                  <w:r>
                    <w:rPr>
                      <w:rFonts w:hint="eastAsia"/>
                      <w:sz w:val="18"/>
                      <w:szCs w:val="18"/>
                      <w:lang w:val="en-US" w:eastAsia="zh-CN"/>
                    </w:rPr>
                    <w:t>次灵敏度前、后：105±10；二次灵敏度前、后：105±10</w:t>
                  </w:r>
                  <w:r>
                    <w:rPr>
                      <w:rFonts w:hint="eastAsia"/>
                      <w:sz w:val="18"/>
                      <w:szCs w:val="18"/>
                      <w:lang w:eastAsia="zh-CN"/>
                    </w:rPr>
                    <w:t>）</w:t>
                  </w:r>
                </w:p>
              </w:tc>
              <w:tc>
                <w:tcPr>
                  <w:tcW w:w="25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由操作工在开机时进行检查、之后每3h/次测异色粒含量；连续控制色选机灵敏度</w:t>
                  </w:r>
                </w:p>
              </w:tc>
              <w:tc>
                <w:tcPr>
                  <w:tcW w:w="760" w:type="dxa"/>
                  <w:tcBorders>
                    <w:top w:val="single" w:color="auto" w:sz="4" w:space="0"/>
                    <w:left w:val="single" w:color="auto" w:sz="4" w:space="0"/>
                    <w:bottom w:val="single" w:color="auto" w:sz="4" w:space="0"/>
                    <w:right w:val="single" w:color="auto" w:sz="4" w:space="0"/>
                  </w:tcBorders>
                  <w:shd w:val="clear" w:color="auto" w:fill="auto"/>
                </w:tcPr>
                <w:p>
                  <w:pPr>
                    <w:shd w:val="clear"/>
                    <w:jc w:val="center"/>
                    <w:rPr>
                      <w:rFonts w:hint="eastAsia" w:eastAsia="宋体"/>
                      <w:color w:val="0000FF"/>
                      <w:highlight w:val="yellow"/>
                      <w:lang w:val="en-US" w:eastAsia="zh-CN"/>
                    </w:rPr>
                  </w:pPr>
                  <w:r>
                    <w:rPr>
                      <w:rFonts w:hint="eastAsia"/>
                      <w:color w:val="auto"/>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733" w:type="dxa"/>
                  <w:tcBorders>
                    <w:top w:val="single" w:color="auto" w:sz="4" w:space="0"/>
                    <w:left w:val="single" w:color="auto" w:sz="4" w:space="0"/>
                    <w:bottom w:val="single" w:color="auto" w:sz="4" w:space="0"/>
                    <w:right w:val="single" w:color="auto" w:sz="4" w:space="0"/>
                  </w:tcBorders>
                  <w:shd w:val="clear" w:color="auto" w:fill="auto"/>
                </w:tcPr>
                <w:p>
                  <w:pPr>
                    <w:shd w:val="clear"/>
                    <w:rPr>
                      <w:color w:val="0000FF"/>
                      <w:sz w:val="18"/>
                      <w:szCs w:val="18"/>
                      <w:highlight w:val="yellow"/>
                    </w:rPr>
                  </w:pPr>
                </w:p>
              </w:tc>
              <w:tc>
                <w:tcPr>
                  <w:tcW w:w="1155" w:type="dxa"/>
                  <w:tcBorders>
                    <w:top w:val="single" w:color="auto" w:sz="4" w:space="0"/>
                    <w:left w:val="single" w:color="auto" w:sz="4" w:space="0"/>
                    <w:bottom w:val="single" w:color="auto" w:sz="4" w:space="0"/>
                    <w:right w:val="single" w:color="auto" w:sz="4" w:space="0"/>
                  </w:tcBorders>
                  <w:shd w:val="clear" w:color="auto" w:fill="auto"/>
                </w:tcPr>
                <w:p>
                  <w:pPr>
                    <w:shd w:val="clear"/>
                    <w:adjustRightInd w:val="0"/>
                    <w:spacing w:line="220" w:lineRule="exact"/>
                    <w:jc w:val="both"/>
                    <w:textAlignment w:val="baseline"/>
                    <w:rPr>
                      <w:rFonts w:ascii="仿宋_GB2312" w:cs="宋体"/>
                      <w:b/>
                      <w:kern w:val="0"/>
                      <w:szCs w:val="22"/>
                    </w:rPr>
                  </w:pPr>
                </w:p>
              </w:tc>
              <w:tc>
                <w:tcPr>
                  <w:tcW w:w="101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rFonts w:ascii="Times New Roman" w:hAnsi="Times New Roman" w:eastAsia="宋体" w:cs="Times New Roman"/>
                      <w:color w:val="0000FF"/>
                      <w:kern w:val="2"/>
                      <w:sz w:val="21"/>
                      <w:szCs w:val="24"/>
                      <w:highlight w:val="yellow"/>
                      <w:lang w:val="fr-FR" w:eastAsia="zh-CN" w:bidi="ar-SA"/>
                    </w:rPr>
                  </w:pPr>
                </w:p>
              </w:tc>
              <w:tc>
                <w:tcPr>
                  <w:tcW w:w="3070" w:type="dxa"/>
                  <w:tcBorders>
                    <w:top w:val="single" w:color="auto" w:sz="4" w:space="0"/>
                    <w:left w:val="single" w:color="auto" w:sz="4" w:space="0"/>
                    <w:bottom w:val="single" w:color="auto" w:sz="4" w:space="0"/>
                    <w:right w:val="single" w:color="auto" w:sz="4" w:space="0"/>
                  </w:tcBorders>
                  <w:shd w:val="clear" w:color="auto" w:fill="auto"/>
                  <w:vAlign w:val="top"/>
                </w:tcPr>
                <w:p>
                  <w:pPr>
                    <w:shd w:val="clear"/>
                    <w:jc w:val="left"/>
                    <w:rPr>
                      <w:rFonts w:ascii="Times New Roman" w:hAnsi="Times New Roman" w:eastAsia="宋体" w:cs="Times New Roman"/>
                      <w:color w:val="0000FF"/>
                      <w:kern w:val="2"/>
                      <w:sz w:val="21"/>
                      <w:szCs w:val="24"/>
                      <w:highlight w:val="yellow"/>
                      <w:lang w:val="en-US" w:eastAsia="zh-CN" w:bidi="ar-SA"/>
                    </w:rPr>
                  </w:pPr>
                </w:p>
              </w:tc>
              <w:tc>
                <w:tcPr>
                  <w:tcW w:w="2508" w:type="dxa"/>
                  <w:tcBorders>
                    <w:top w:val="single" w:color="auto" w:sz="4" w:space="0"/>
                    <w:left w:val="single" w:color="auto" w:sz="4" w:space="0"/>
                    <w:bottom w:val="single" w:color="auto" w:sz="4" w:space="0"/>
                    <w:right w:val="single" w:color="auto" w:sz="4" w:space="0"/>
                  </w:tcBorders>
                  <w:shd w:val="clear" w:color="auto" w:fill="auto"/>
                </w:tcPr>
                <w:p>
                  <w:pPr>
                    <w:shd w:val="clear"/>
                    <w:spacing w:line="280" w:lineRule="exact"/>
                    <w:jc w:val="left"/>
                    <w:rPr>
                      <w:rFonts w:ascii="宋体" w:hAnsi="宋体" w:cs="宋体"/>
                      <w:kern w:val="0"/>
                      <w:szCs w:val="22"/>
                    </w:rPr>
                  </w:pPr>
                </w:p>
              </w:tc>
              <w:tc>
                <w:tcPr>
                  <w:tcW w:w="760" w:type="dxa"/>
                  <w:tcBorders>
                    <w:top w:val="single" w:color="auto" w:sz="4" w:space="0"/>
                    <w:left w:val="single" w:color="auto" w:sz="4" w:space="0"/>
                    <w:bottom w:val="single" w:color="auto" w:sz="4" w:space="0"/>
                    <w:right w:val="single" w:color="auto" w:sz="4" w:space="0"/>
                  </w:tcBorders>
                  <w:shd w:val="clear" w:color="auto" w:fill="auto"/>
                </w:tcPr>
                <w:p>
                  <w:pPr>
                    <w:shd w:val="clear"/>
                    <w:jc w:val="center"/>
                    <w:rPr>
                      <w:color w:val="0000FF"/>
                      <w:highlight w:val="yellow"/>
                    </w:rPr>
                  </w:pP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rPr>
                <w:b/>
                <w:bCs/>
              </w:rPr>
            </w:pPr>
            <w:r>
              <w:rPr>
                <w:b/>
                <w:bCs/>
              </w:rPr>
              <w:t>超出关键限值或行动限值采取的措施</w:t>
            </w:r>
          </w:p>
          <w:p>
            <w:pPr>
              <w:shd w:val="clear" w:color="auto"/>
            </w:pPr>
            <w:r>
              <w:t>组织规定超出行动限值或行动限值时所采取的纠正和纠正措施。并确保：</w:t>
            </w:r>
          </w:p>
          <w:p>
            <w:pPr>
              <w:shd w:val="clear" w:color="auto"/>
            </w:pPr>
            <w:r>
              <w:t>a) 潜在不安全产品未放行；</w:t>
            </w:r>
          </w:p>
          <w:p>
            <w:pPr>
              <w:shd w:val="clear" w:color="auto"/>
            </w:pPr>
            <w:r>
              <w:t>b) 查明不符合的原因；</w:t>
            </w:r>
          </w:p>
          <w:p>
            <w:pPr>
              <w:shd w:val="clear" w:color="auto"/>
            </w:pPr>
            <w:r>
              <w:t>c)</w:t>
            </w:r>
            <w:r>
              <w:rPr>
                <w:rFonts w:hint="eastAsia"/>
              </w:rPr>
              <w:t xml:space="preserve"> </w:t>
            </w:r>
            <w:r>
              <w:t>使在CCP和OPRP控制的参数回到关键限值或行动限值内；</w:t>
            </w:r>
          </w:p>
          <w:p>
            <w:pPr>
              <w:shd w:val="clear" w:color="auto"/>
            </w:pPr>
            <w:r>
              <w:t>d）防止再次发生。</w:t>
            </w:r>
          </w:p>
          <w:p>
            <w:pPr>
              <w:shd w:val="clear"/>
              <w:tabs>
                <w:tab w:val="right" w:pos="3119"/>
              </w:tabs>
            </w:pPr>
          </w:p>
          <w:p>
            <w:pPr>
              <w:shd w:val="clea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shd w:val="clea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rPr>
                <w:rFonts w:hint="eastAsia" w:eastAsia="宋体"/>
                <w:b/>
                <w:bCs/>
                <w:lang w:eastAsia="zh-CN"/>
              </w:rPr>
            </w:pPr>
            <w:r>
              <w:t xml:space="preserve"> </w:t>
            </w:r>
            <w:r>
              <w:rPr>
                <w:b/>
                <w:bCs/>
              </w:rPr>
              <w:t>PRP和 危害控制计划文件的更新</w:t>
            </w:r>
            <w:r>
              <w:rPr>
                <w:rFonts w:hint="eastAsia"/>
                <w:b/>
                <w:bCs/>
                <w:lang w:eastAsia="zh-CN"/>
              </w:rPr>
              <w:t>（</w:t>
            </w:r>
            <w:r>
              <w:rPr>
                <w:rFonts w:hint="eastAsia"/>
                <w:b/>
                <w:bCs/>
                <w:lang w:val="en-US" w:eastAsia="zh-CN"/>
              </w:rPr>
              <w:t>体系建立以来未发生</w:t>
            </w:r>
            <w:r>
              <w:rPr>
                <w:rFonts w:hint="eastAsia"/>
                <w:b/>
                <w:bCs/>
                <w:lang w:eastAsia="zh-CN"/>
              </w:rPr>
              <w:t>）</w:t>
            </w:r>
          </w:p>
          <w:p>
            <w:pPr>
              <w:shd w:val="clear" w:color="auto"/>
            </w:pPr>
            <w:r>
              <w:t>制定OPRP计划和（或） HACCP计划后， 组织</w:t>
            </w:r>
            <w:r>
              <w:rPr>
                <w:rFonts w:hint="eastAsia"/>
              </w:rPr>
              <w:sym w:font="Wingdings" w:char="00A8"/>
            </w:r>
            <w:r>
              <w:rPr>
                <w:rFonts w:hint="eastAsia"/>
              </w:rPr>
              <w:t>未更新/</w:t>
            </w:r>
            <w:r>
              <w:rPr>
                <w:rFonts w:hint="eastAsia"/>
              </w:rPr>
              <w:sym w:font="Wingdings" w:char="00A8"/>
            </w:r>
            <w:r>
              <w:t>更新</w:t>
            </w:r>
            <w:r>
              <w:rPr>
                <w:rFonts w:hint="eastAsia"/>
              </w:rPr>
              <w:t>了</w:t>
            </w:r>
            <w:r>
              <w:t>如下信息：</w:t>
            </w:r>
          </w:p>
          <w:p>
            <w:pPr>
              <w:shd w:val="clear" w:color="auto"/>
            </w:pPr>
            <w:r>
              <w:rPr>
                <w:rFonts w:hint="eastAsia"/>
              </w:rPr>
              <w:t xml:space="preserve">☑ </w:t>
            </w:r>
            <w:r>
              <w:t>原料、 辅料和与产品接触材料的特性；</w:t>
            </w:r>
          </w:p>
          <w:p>
            <w:pPr>
              <w:shd w:val="clear" w:color="auto"/>
            </w:pPr>
            <w:r>
              <w:rPr>
                <w:rFonts w:hint="eastAsia"/>
              </w:rPr>
              <w:t>☑</w:t>
            </w:r>
            <w:r>
              <w:t xml:space="preserve"> 成品特性；</w:t>
            </w:r>
          </w:p>
          <w:p>
            <w:pPr>
              <w:shd w:val="clear" w:color="auto"/>
            </w:pPr>
            <w:r>
              <w:rPr>
                <w:rFonts w:hint="eastAsia"/>
              </w:rPr>
              <w:t>☑</w:t>
            </w:r>
            <w:r>
              <w:t xml:space="preserve"> 预期用途；</w:t>
            </w:r>
          </w:p>
          <w:p>
            <w:pPr>
              <w:shd w:val="clear" w:color="auto"/>
            </w:pPr>
            <w:r>
              <w:rPr>
                <w:rFonts w:hint="eastAsia"/>
              </w:rPr>
              <w:t>☑</w:t>
            </w:r>
            <w:r>
              <w:t xml:space="preserve"> 流程图、 工艺步骤和控制措施。</w:t>
            </w:r>
          </w:p>
          <w:p>
            <w:pPr>
              <w:shd w:val="clear" w:color="auto"/>
            </w:pPr>
            <w:r>
              <w:rPr>
                <w:rFonts w:hint="eastAsia"/>
              </w:rPr>
              <w:t>☑</w:t>
            </w:r>
            <w:r>
              <w:t>HACCP计划、 OPRP计划和/或PRP。</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rPr>
                <w:b/>
                <w:bCs/>
              </w:rPr>
            </w:pPr>
            <w:r>
              <w:rPr>
                <w:b/>
                <w:bCs/>
              </w:rPr>
              <w:t>监视和测量的控制</w:t>
            </w:r>
          </w:p>
          <w:p>
            <w:pPr>
              <w:shd w:val="clear" w:color="auto"/>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A8"/>
            </w:r>
            <w:r>
              <w:rPr>
                <w:rFonts w:hint="eastAsia"/>
              </w:rPr>
              <w:t xml:space="preserve">顾客要求  </w:t>
            </w:r>
            <w:r>
              <w:rPr>
                <w:rFonts w:hint="eastAsia"/>
              </w:rPr>
              <w:sym w:font="Wingdings" w:char="00A8"/>
            </w:r>
            <w:r>
              <w:rPr>
                <w:rFonts w:hint="eastAsia"/>
              </w:rPr>
              <w:t>其他</w:t>
            </w:r>
          </w:p>
          <w:p>
            <w:pPr>
              <w:shd w:val="clear" w:color="auto"/>
              <w:rPr>
                <w:b/>
                <w:bCs/>
              </w:rPr>
            </w:pPr>
          </w:p>
          <w:p>
            <w:pPr>
              <w:shd w:val="clear" w:color="auto"/>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☑外校 </w:t>
            </w:r>
          </w:p>
          <w:p>
            <w:pPr>
              <w:shd w:val="clear" w:color="auto"/>
              <w:rPr>
                <w:u w:val="single"/>
              </w:rPr>
            </w:pPr>
            <w:r>
              <w:rPr>
                <w:rFonts w:hint="eastAsia"/>
              </w:rPr>
              <w:t>国家强检的计量器具有：</w:t>
            </w:r>
            <w:r>
              <w:rPr>
                <w:rFonts w:hint="eastAsia"/>
                <w:u w:val="single"/>
                <w:lang w:val="en-US" w:eastAsia="zh-CN"/>
              </w:rPr>
              <w:t>电子秤</w:t>
            </w:r>
            <w:r>
              <w:rPr>
                <w:rFonts w:hint="eastAsia"/>
                <w:u w:val="single"/>
              </w:rPr>
              <w:t xml:space="preserve"> </w:t>
            </w:r>
            <w:r>
              <w:rPr>
                <w:rFonts w:hint="eastAsia"/>
                <w:u w:val="single"/>
                <w:lang w:eastAsia="zh-CN"/>
              </w:rPr>
              <w:t>、</w:t>
            </w:r>
            <w:r>
              <w:rPr>
                <w:rFonts w:hint="eastAsia"/>
                <w:u w:val="single"/>
                <w:lang w:val="en-US" w:eastAsia="zh-CN"/>
              </w:rPr>
              <w:t>温度计、干燥箱</w:t>
            </w:r>
            <w:r>
              <w:rPr>
                <w:rFonts w:hint="eastAsia"/>
                <w:u w:val="single"/>
              </w:rPr>
              <w:t xml:space="preserve">        （列举1~4种）</w:t>
            </w:r>
          </w:p>
          <w:p>
            <w:pPr>
              <w:shd w:val="clear" w:color="auto"/>
              <w:rPr>
                <w:rFonts w:hint="eastAsia"/>
                <w:highlight w:val="none"/>
                <w:u w:val="single"/>
                <w:lang w:val="en-US" w:eastAsia="zh-CN"/>
              </w:rPr>
            </w:pPr>
            <w:r>
              <w:rPr>
                <w:rFonts w:hint="eastAsia"/>
                <w:highlight w:val="none"/>
              </w:rPr>
              <w:t>计量器具管理：</w:t>
            </w:r>
            <w:r>
              <w:rPr>
                <w:rFonts w:hint="eastAsia"/>
                <w:highlight w:val="none"/>
                <w:lang w:eastAsia="zh-CN"/>
              </w:rPr>
              <w:sym w:font="Wingdings 2" w:char="00A3"/>
            </w:r>
            <w:r>
              <w:rPr>
                <w:rFonts w:hint="eastAsia"/>
                <w:highlight w:val="none"/>
              </w:rPr>
              <w:t xml:space="preserve">进行了定期校准/检定  </w:t>
            </w:r>
            <w:r>
              <w:rPr>
                <w:rFonts w:hint="eastAsia"/>
                <w:highlight w:val="none"/>
              </w:rPr>
              <w:sym w:font="Wingdings" w:char="00FE"/>
            </w:r>
            <w:r>
              <w:rPr>
                <w:rFonts w:hint="eastAsia"/>
                <w:highlight w:val="none"/>
              </w:rPr>
              <w:t xml:space="preserve">未进行定期校准/检定的有： </w:t>
            </w:r>
            <w:r>
              <w:rPr>
                <w:rFonts w:hint="eastAsia"/>
                <w:highlight w:val="none"/>
                <w:u w:val="single"/>
              </w:rPr>
              <w:t xml:space="preserve"> </w:t>
            </w:r>
            <w:r>
              <w:rPr>
                <w:rFonts w:hint="eastAsia"/>
                <w:highlight w:val="none"/>
                <w:u w:val="single"/>
                <w:lang w:val="en-US" w:eastAsia="zh-CN"/>
              </w:rPr>
              <w:t xml:space="preserve">           </w:t>
            </w:r>
          </w:p>
          <w:p>
            <w:pPr>
              <w:pStyle w:val="13"/>
              <w:shd w:val="clear"/>
              <w:ind w:firstLine="231" w:firstLineChars="100"/>
              <w:rPr>
                <w:rFonts w:hint="default" w:eastAsia="方正仿宋简体"/>
                <w:b w:val="0"/>
                <w:bCs w:val="0"/>
                <w:color w:val="FF0000"/>
                <w:highlight w:val="none"/>
                <w:lang w:val="en-US" w:eastAsia="zh-CN"/>
              </w:rPr>
            </w:pPr>
            <w:r>
              <w:rPr>
                <w:rFonts w:hint="eastAsia" w:ascii="黑体" w:hAnsi="黑体" w:eastAsia="黑体" w:cs="黑体"/>
                <w:b/>
                <w:bCs w:val="0"/>
                <w:color w:val="FF0000"/>
                <w:kern w:val="2"/>
                <w:sz w:val="21"/>
                <w:szCs w:val="24"/>
                <w:highlight w:val="none"/>
                <w:u w:val="none"/>
                <w:lang w:val="en-US" w:eastAsia="zh-CN" w:bidi="ar-SA"/>
              </w:rPr>
              <w:t>抽型号为TCS-150电子秤未提供校检证据</w:t>
            </w:r>
            <w:r>
              <w:rPr>
                <w:rFonts w:hint="eastAsia" w:ascii="黑体" w:hAnsi="黑体" w:eastAsia="黑体" w:cs="黑体"/>
                <w:b/>
                <w:bCs w:val="0"/>
                <w:kern w:val="2"/>
                <w:sz w:val="21"/>
                <w:szCs w:val="24"/>
                <w:highlight w:val="none"/>
                <w:u w:val="none"/>
                <w:lang w:val="en-US" w:eastAsia="zh-CN" w:bidi="ar-SA"/>
              </w:rPr>
              <w:t>，</w:t>
            </w:r>
            <w:r>
              <w:rPr>
                <w:rFonts w:hint="eastAsia" w:ascii="方正仿宋简体" w:eastAsia="方正仿宋简体"/>
                <w:b w:val="0"/>
                <w:bCs w:val="0"/>
                <w:color w:val="FF0000"/>
                <w:highlight w:val="none"/>
                <w:lang w:val="en-US" w:eastAsia="zh-CN"/>
              </w:rPr>
              <w:t>见不符合报告02</w:t>
            </w:r>
          </w:p>
          <w:p>
            <w:pPr>
              <w:shd w:val="clear" w:color="auto"/>
            </w:pPr>
            <w:r>
              <w:rPr>
                <w:rFonts w:hint="eastAsia"/>
              </w:rPr>
              <w:sym w:font="Wingdings" w:char="00A8"/>
            </w:r>
            <w:r>
              <w:t>在FSMS中用于监视和测量的软件在使用前</w:t>
            </w:r>
            <w:r>
              <w:rPr>
                <w:rFonts w:hint="eastAsia"/>
              </w:rPr>
              <w:t>已</w:t>
            </w:r>
            <w:r>
              <w:t>由组织、软件供应商或第三方进行验证。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rPr>
                <w:b/>
                <w:bCs/>
              </w:rPr>
            </w:pPr>
            <w:r>
              <w:rPr>
                <w:b/>
                <w:bCs/>
              </w:rPr>
              <w:t>与 PRP、危害控制计划有关的验证</w:t>
            </w:r>
          </w:p>
          <w:p>
            <w:pPr>
              <w:shd w:val="clear" w:color="auto"/>
            </w:pPr>
            <w:r>
              <w:t>组织建立、 实施和保持验证活动， 规定验证活动的目的、方法、频次和职责。</w:t>
            </w:r>
          </w:p>
          <w:p>
            <w:pPr>
              <w:shd w:val="clear" w:color="auto"/>
            </w:pPr>
            <w:r>
              <w:t>验证活动应证实：</w:t>
            </w:r>
          </w:p>
          <w:p>
            <w:pPr>
              <w:shd w:val="clear" w:color="auto"/>
            </w:pPr>
            <w:r>
              <w:t>a) PRP已实施且有效；</w:t>
            </w:r>
          </w:p>
          <w:p>
            <w:pPr>
              <w:shd w:val="clear" w:color="auto"/>
            </w:pPr>
            <w:r>
              <w:t>b) 危险源控制计划实施有效；</w:t>
            </w:r>
          </w:p>
          <w:p>
            <w:pPr>
              <w:shd w:val="clear" w:color="auto"/>
            </w:pPr>
            <w:r>
              <w:t>c) 危害水平在确定的可接受水平之内；</w:t>
            </w:r>
          </w:p>
          <w:p>
            <w:pPr>
              <w:shd w:val="clear" w:color="auto"/>
            </w:pPr>
            <w:r>
              <w:t>d) 危害分析输入的更新</w:t>
            </w:r>
          </w:p>
          <w:p>
            <w:pPr>
              <w:shd w:val="clear" w:color="auto"/>
            </w:pPr>
            <w:r>
              <w:t>e) 组织确定的其他措施得以实施且有效。</w:t>
            </w:r>
          </w:p>
          <w:p>
            <w:pPr>
              <w:shd w:val="clear" w:color="auto"/>
            </w:pPr>
            <w:r>
              <w:t>食品安全小组对验证结果进行分析，并将其作为食品安全管理体系绩效评估的输入</w:t>
            </w:r>
          </w:p>
          <w:p>
            <w:pPr>
              <w:shd w:val="clea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3</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10</w:t>
            </w:r>
            <w:r>
              <w:rPr>
                <w:rFonts w:hint="eastAsia"/>
                <w:color w:val="0000FF"/>
                <w:szCs w:val="21"/>
              </w:rPr>
              <w:t>日，进行验证了PRP。</w:t>
            </w:r>
          </w:p>
          <w:p>
            <w:pPr>
              <w:shd w:val="clea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rPr>
              <w:t>日，进行验证了危害控制计划。</w:t>
            </w:r>
          </w:p>
          <w:p>
            <w:pPr>
              <w:shd w:val="clear" w:color="auto"/>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pPr>
            <w:r>
              <w:t>组织确保来由有能力并有权发起纠正和纠正措施的指定人员进行评估OPRP和CCPs监测的数据。</w:t>
            </w:r>
          </w:p>
          <w:p>
            <w:pPr>
              <w:shd w:val="clear" w:color="auto"/>
            </w:pPr>
            <w:r>
              <w:t>组织确保当CCP的关键限值超出时， 或OPRP计划失控时， 根据产品的用途和放行要求， 识别和控制受影响的产品。包括：</w:t>
            </w:r>
          </w:p>
          <w:p>
            <w:pPr>
              <w:shd w:val="clear" w:color="auto"/>
            </w:pPr>
            <w:r>
              <w:t>a） 受影响产品的识别、评估和纠正方法，以确保其正确处理；</w:t>
            </w:r>
          </w:p>
          <w:p>
            <w:pPr>
              <w:shd w:val="clear" w:color="auto"/>
            </w:pPr>
            <w:r>
              <w:t>b） 评审所作更正的安排。</w:t>
            </w:r>
          </w:p>
          <w:p>
            <w:pPr>
              <w:shd w:val="clear" w:color="auto"/>
            </w:pPr>
            <w:r>
              <w:t>对不能放行的产品：</w:t>
            </w:r>
          </w:p>
          <w:p>
            <w:pPr>
              <w:shd w:val="clear" w:color="auto"/>
            </w:pPr>
            <w:r>
              <w:t>a) 在组织内或组织外重新加工或进一步加工， 以确保食品安全危害得到消除或降至可接受水平；</w:t>
            </w:r>
          </w:p>
          <w:p>
            <w:pPr>
              <w:shd w:val="clear" w:color="auto"/>
            </w:pPr>
            <w:r>
              <w:t>b) 只要食品链中的食品安全不受影响， 可改做其它用途；</w:t>
            </w:r>
          </w:p>
          <w:p>
            <w:pPr>
              <w:shd w:val="clear" w:color="auto"/>
            </w:pPr>
            <w:r>
              <w:t>c) 销毁和（或） 按废物处理。</w:t>
            </w:r>
          </w:p>
          <w:p>
            <w:pPr>
              <w:shd w:val="clear" w:color="auto"/>
            </w:pPr>
          </w:p>
          <w:p>
            <w:pPr>
              <w:shd w:val="clear" w:color="auto"/>
            </w:pPr>
            <w:r>
              <w:rPr>
                <w:rFonts w:hint="eastAsia"/>
              </w:rPr>
              <w:t xml:space="preserve">近一年来，☑未发生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r>
              <w:rPr>
                <w:b/>
                <w:bCs/>
              </w:rPr>
              <w:t>潜在不安全产品的处置</w:t>
            </w:r>
          </w:p>
          <w:p>
            <w:pPr>
              <w:shd w:val="clear" w:color="auto"/>
            </w:pPr>
            <w:r>
              <w:t>组织采取措施防止潜在的不安全产品进入食物链，证明</w:t>
            </w:r>
            <w:r>
              <w:rPr>
                <w:rFonts w:hint="eastAsia"/>
              </w:rPr>
              <w:t>其</w:t>
            </w:r>
            <w:r>
              <w:t>：</w:t>
            </w:r>
          </w:p>
          <w:p>
            <w:pPr>
              <w:shd w:val="clear" w:color="auto"/>
            </w:pPr>
            <w:r>
              <w:t>a） 相关的食品安全危害降低到规定的可接受水平；</w:t>
            </w:r>
          </w:p>
          <w:p>
            <w:pPr>
              <w:shd w:val="clear" w:color="auto"/>
            </w:pPr>
            <w:r>
              <w:t>b） 相关的食品安全危害将在进入食品链之前降低到可接受的水平；</w:t>
            </w:r>
          </w:p>
          <w:p>
            <w:pPr>
              <w:shd w:val="clear" w:color="auto"/>
            </w:pPr>
            <w:r>
              <w:t>c） 尽管不符合，但产品仍能满足规定的相关食品安全危害的可接受水平。</w:t>
            </w:r>
          </w:p>
          <w:p>
            <w:pPr>
              <w:shd w:val="clear" w:color="auto"/>
            </w:pPr>
            <w:r>
              <w:t>组织将已识别为潜在不安全的产品保留在其控制之中，直到产品经过评估并确定处置为止。</w:t>
            </w:r>
          </w:p>
          <w:p>
            <w:pPr>
              <w:shd w:val="clear" w:color="auto"/>
            </w:pPr>
            <w:r>
              <w:t>如果随后确定离开组织控制的产品不安全，组织应通知相关相关方并启动撤回/召回。</w:t>
            </w:r>
          </w:p>
          <w:p>
            <w:pPr>
              <w:shd w:val="clear" w:color="auto"/>
            </w:pPr>
          </w:p>
          <w:p>
            <w:pPr>
              <w:shd w:val="clear" w:color="auto"/>
            </w:pPr>
            <w:r>
              <w:rPr>
                <w:rFonts w:hint="eastAsia"/>
              </w:rPr>
              <w:t>组织确保对不符合要求的产品或过程进行识别和控制，以防止非预期的使用或交付。</w:t>
            </w:r>
          </w:p>
          <w:p>
            <w:pPr>
              <w:shd w:val="clear" w:color="auto"/>
            </w:pPr>
            <w:r>
              <w:rPr>
                <w:rFonts w:hint="eastAsia"/>
              </w:rPr>
              <w:t xml:space="preserve">不合格产品或过程控制：☑符合要求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80" w:type="dxa"/>
            <w:vMerge w:val="continue"/>
            <w:shd w:val="clear" w:color="auto" w:fill="auto"/>
          </w:tcPr>
          <w:p>
            <w:pPr>
              <w:shd w:val="clear" w:color="auto"/>
            </w:pPr>
          </w:p>
        </w:tc>
        <w:tc>
          <w:tcPr>
            <w:tcW w:w="9634" w:type="dxa"/>
            <w:shd w:val="clear" w:color="auto" w:fill="auto"/>
          </w:tcPr>
          <w:p>
            <w:pPr>
              <w:shd w:val="clear"/>
            </w:pPr>
            <w:r>
              <w:rPr>
                <w:rFonts w:hint="eastAsia"/>
              </w:rPr>
              <w:t>产品撤回/召回</w:t>
            </w:r>
          </w:p>
          <w:p>
            <w:pPr>
              <w:shd w:val="clea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10"/>
              </w:numPr>
              <w:shd w:val="clear"/>
              <w:spacing w:before="40" w:after="40"/>
              <w:rPr>
                <w:szCs w:val="21"/>
              </w:rPr>
            </w:pPr>
            <w:r>
              <w:rPr>
                <w:szCs w:val="21"/>
              </w:rPr>
              <w:t>启动和实施产品召回计划人员的职责和权限</w:t>
            </w:r>
          </w:p>
          <w:p>
            <w:pPr>
              <w:widowControl/>
              <w:numPr>
                <w:ilvl w:val="0"/>
                <w:numId w:val="10"/>
              </w:numPr>
              <w:shd w:val="clear"/>
              <w:spacing w:before="40" w:after="40"/>
              <w:rPr>
                <w:szCs w:val="21"/>
              </w:rPr>
            </w:pPr>
            <w:r>
              <w:rPr>
                <w:szCs w:val="21"/>
              </w:rPr>
              <w:t>产品召回行动需符合的相关法律、法规和其他相关要求</w:t>
            </w:r>
          </w:p>
          <w:p>
            <w:pPr>
              <w:widowControl/>
              <w:numPr>
                <w:ilvl w:val="0"/>
                <w:numId w:val="10"/>
              </w:numPr>
              <w:shd w:val="clear"/>
              <w:spacing w:before="40" w:after="40"/>
              <w:rPr>
                <w:szCs w:val="21"/>
              </w:rPr>
            </w:pPr>
            <w:r>
              <w:rPr>
                <w:szCs w:val="21"/>
              </w:rPr>
              <w:t>制定并实施受安全危害影响产品的召回措施</w:t>
            </w:r>
          </w:p>
          <w:p>
            <w:pPr>
              <w:widowControl/>
              <w:numPr>
                <w:ilvl w:val="0"/>
                <w:numId w:val="10"/>
              </w:numPr>
              <w:shd w:val="clear"/>
              <w:spacing w:before="40" w:after="40"/>
              <w:rPr>
                <w:szCs w:val="21"/>
              </w:rPr>
            </w:pPr>
            <w:r>
              <w:rPr>
                <w:szCs w:val="21"/>
              </w:rPr>
              <w:t>制定对召回的产品进行分析和处置的措施；</w:t>
            </w:r>
          </w:p>
          <w:p>
            <w:pPr>
              <w:shd w:val="clear"/>
              <w:rPr>
                <w:szCs w:val="21"/>
              </w:rPr>
            </w:pPr>
            <w:r>
              <w:rPr>
                <w:rFonts w:hint="eastAsia"/>
                <w:szCs w:val="21"/>
              </w:rPr>
              <w:t>实际发生的产品</w:t>
            </w:r>
            <w:r>
              <w:rPr>
                <w:szCs w:val="21"/>
              </w:rPr>
              <w:t>召回记录。</w:t>
            </w:r>
          </w:p>
          <w:p>
            <w:pPr>
              <w:shd w:val="clear"/>
              <w:tabs>
                <w:tab w:val="left" w:pos="510"/>
              </w:tabs>
              <w:autoSpaceDE w:val="0"/>
              <w:autoSpaceDN w:val="0"/>
              <w:adjustRightInd w:val="0"/>
              <w:ind w:right="6"/>
            </w:pPr>
            <w:r>
              <w:rPr>
                <w:rFonts w:hint="eastAsia"/>
              </w:rPr>
              <w:t xml:space="preserve">召回的原因分析，采取纠正措施。以下投诉被抽查：   </w:t>
            </w:r>
          </w:p>
          <w:p>
            <w:pPr>
              <w:shd w:val="clea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shd w:val="clea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pPr>
              <w:shd w:val="clea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shd w:val="clear"/>
              <w:tabs>
                <w:tab w:val="left" w:pos="510"/>
              </w:tabs>
              <w:autoSpaceDE w:val="0"/>
              <w:autoSpaceDN w:val="0"/>
              <w:adjustRightInd w:val="0"/>
              <w:ind w:right="6"/>
              <w:rPr>
                <w:color w:val="0000FF"/>
                <w:szCs w:val="21"/>
                <w:u w:val="single"/>
              </w:rPr>
            </w:pPr>
          </w:p>
          <w:p>
            <w:pPr>
              <w:shd w:val="clear"/>
              <w:tabs>
                <w:tab w:val="left" w:pos="510"/>
              </w:tabs>
              <w:autoSpaceDE w:val="0"/>
              <w:autoSpaceDN w:val="0"/>
              <w:adjustRightInd w:val="0"/>
              <w:ind w:right="6"/>
              <w:rPr>
                <w:szCs w:val="21"/>
                <w:highlight w:val="none"/>
              </w:rPr>
            </w:pPr>
            <w:r>
              <w:rPr>
                <w:rFonts w:hint="eastAsia"/>
                <w:szCs w:val="21"/>
                <w:highlight w:val="none"/>
              </w:rPr>
              <w:t>召回演练记录：</w:t>
            </w:r>
          </w:p>
          <w:p>
            <w:pPr>
              <w:shd w:val="clear"/>
              <w:tabs>
                <w:tab w:val="left" w:pos="510"/>
              </w:tabs>
              <w:autoSpaceDE w:val="0"/>
              <w:autoSpaceDN w:val="0"/>
              <w:adjustRightInd w:val="0"/>
              <w:ind w:right="6"/>
              <w:rPr>
                <w:szCs w:val="21"/>
                <w:highlight w:val="none"/>
              </w:rPr>
            </w:pPr>
            <w:r>
              <w:rPr>
                <w:rFonts w:hint="eastAsia"/>
                <w:szCs w:val="21"/>
                <w:highlight w:val="none"/>
                <w:u w:val="single"/>
              </w:rPr>
              <w:t xml:space="preserve">    </w:t>
            </w:r>
            <w:r>
              <w:rPr>
                <w:szCs w:val="21"/>
                <w:highlight w:val="none"/>
                <w:u w:val="single"/>
              </w:rPr>
              <w:t>20</w:t>
            </w:r>
            <w:r>
              <w:rPr>
                <w:rFonts w:hint="eastAsia"/>
                <w:szCs w:val="21"/>
                <w:highlight w:val="none"/>
                <w:u w:val="single"/>
                <w:lang w:val="en-US" w:eastAsia="zh-CN"/>
              </w:rPr>
              <w:t>21</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u w:val="single"/>
                <w:lang w:val="en-US" w:eastAsia="zh-CN"/>
              </w:rPr>
              <w:t>5</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25</w:t>
            </w:r>
            <w:r>
              <w:rPr>
                <w:rFonts w:hint="eastAsia"/>
                <w:szCs w:val="21"/>
                <w:highlight w:val="none"/>
                <w:u w:val="single"/>
              </w:rPr>
              <w:t xml:space="preserve">  </w:t>
            </w:r>
            <w:r>
              <w:rPr>
                <w:rFonts w:hint="eastAsia"/>
                <w:szCs w:val="21"/>
                <w:highlight w:val="none"/>
              </w:rPr>
              <w:t>日进行了召回演练，产品</w:t>
            </w:r>
            <w:r>
              <w:rPr>
                <w:rFonts w:hint="eastAsia"/>
                <w:szCs w:val="21"/>
                <w:highlight w:val="none"/>
                <w:lang w:eastAsia="zh-CN"/>
              </w:rPr>
              <w:t>：</w:t>
            </w:r>
            <w:r>
              <w:rPr>
                <w:rFonts w:hint="eastAsia"/>
                <w:szCs w:val="21"/>
                <w:highlight w:val="none"/>
                <w:u w:val="single"/>
                <w:lang w:val="en-US" w:eastAsia="zh-CN"/>
              </w:rPr>
              <w:t>发送给</w:t>
            </w:r>
            <w:r>
              <w:rPr>
                <w:rFonts w:hint="eastAsia"/>
                <w:sz w:val="21"/>
                <w:szCs w:val="21"/>
                <w:u w:val="single"/>
                <w:lang w:val="en-US" w:eastAsia="zh-CN"/>
              </w:rPr>
              <w:t>发给明珠超市的大米（批号</w:t>
            </w:r>
            <w:r>
              <w:rPr>
                <w:rFonts w:hint="eastAsia"/>
                <w:szCs w:val="21"/>
                <w:highlight w:val="none"/>
                <w:u w:val="single"/>
              </w:rPr>
              <w:t>202</w:t>
            </w:r>
            <w:r>
              <w:rPr>
                <w:rFonts w:hint="eastAsia"/>
                <w:szCs w:val="21"/>
                <w:highlight w:val="none"/>
                <w:u w:val="single"/>
                <w:lang w:val="en-US" w:eastAsia="zh-CN"/>
              </w:rPr>
              <w:t>1</w:t>
            </w:r>
            <w:r>
              <w:rPr>
                <w:rFonts w:hint="eastAsia"/>
                <w:szCs w:val="21"/>
                <w:highlight w:val="none"/>
                <w:u w:val="single"/>
              </w:rPr>
              <w:t>0</w:t>
            </w:r>
            <w:r>
              <w:rPr>
                <w:rFonts w:hint="eastAsia"/>
                <w:szCs w:val="21"/>
                <w:highlight w:val="none"/>
                <w:u w:val="single"/>
                <w:lang w:val="en-US" w:eastAsia="zh-CN"/>
              </w:rPr>
              <w:t>5</w:t>
            </w:r>
            <w:r>
              <w:rPr>
                <w:rFonts w:hint="eastAsia"/>
                <w:szCs w:val="21"/>
                <w:highlight w:val="none"/>
                <w:u w:val="single"/>
                <w:lang w:eastAsia="zh-CN"/>
              </w:rPr>
              <w:t>25</w:t>
            </w:r>
            <w:r>
              <w:rPr>
                <w:rFonts w:hint="eastAsia"/>
                <w:szCs w:val="21"/>
                <w:highlight w:val="none"/>
                <w:u w:val="single"/>
              </w:rPr>
              <w:t>001</w:t>
            </w:r>
            <w:r>
              <w:rPr>
                <w:rFonts w:hint="eastAsia"/>
                <w:sz w:val="21"/>
                <w:szCs w:val="21"/>
                <w:u w:val="single"/>
                <w:lang w:val="en-US" w:eastAsia="zh-CN"/>
              </w:rPr>
              <w:t>）部分霉变</w:t>
            </w:r>
            <w:r>
              <w:rPr>
                <w:rFonts w:hint="eastAsia"/>
                <w:szCs w:val="21"/>
                <w:highlight w:val="none"/>
                <w:u w:val="single"/>
              </w:rPr>
              <w:t xml:space="preserve">   </w:t>
            </w:r>
            <w:r>
              <w:rPr>
                <w:rFonts w:hint="eastAsia"/>
                <w:szCs w:val="21"/>
                <w:highlight w:val="none"/>
              </w:rPr>
              <w:t>，批号</w:t>
            </w:r>
            <w:r>
              <w:rPr>
                <w:rFonts w:hint="eastAsia"/>
                <w:szCs w:val="21"/>
                <w:highlight w:val="none"/>
                <w:u w:val="none"/>
              </w:rPr>
              <w:t xml:space="preserve"> </w:t>
            </w:r>
            <w:r>
              <w:rPr>
                <w:rFonts w:hint="eastAsia"/>
                <w:sz w:val="21"/>
                <w:szCs w:val="21"/>
                <w:u w:val="none"/>
                <w:lang w:val="en-US" w:eastAsia="zh-CN"/>
              </w:rPr>
              <w:t>发给明珠超市的大米部分霉变</w:t>
            </w:r>
            <w:r>
              <w:rPr>
                <w:rFonts w:hint="eastAsia"/>
                <w:szCs w:val="21"/>
                <w:highlight w:val="none"/>
                <w:u w:val="none"/>
              </w:rPr>
              <w:t xml:space="preserve"> </w:t>
            </w:r>
            <w:r>
              <w:rPr>
                <w:rFonts w:hint="eastAsia"/>
                <w:szCs w:val="21"/>
                <w:highlight w:val="none"/>
              </w:rPr>
              <w:t>，处置有效性</w:t>
            </w:r>
            <w:r>
              <w:rPr>
                <w:rFonts w:hint="eastAsia"/>
                <w:szCs w:val="21"/>
                <w:highlight w:val="none"/>
                <w:u w:val="single"/>
              </w:rPr>
              <w:t xml:space="preserve">   </w:t>
            </w:r>
            <w:r>
              <w:rPr>
                <w:rFonts w:hint="eastAsia"/>
                <w:highlight w:val="none"/>
                <w:lang w:eastAsia="zh-CN"/>
              </w:rPr>
              <w:sym w:font="Wingdings 2" w:char="0052"/>
            </w:r>
            <w:r>
              <w:rPr>
                <w:rFonts w:hint="eastAsia"/>
                <w:szCs w:val="21"/>
                <w:highlight w:val="none"/>
                <w:u w:val="single"/>
              </w:rPr>
              <w:t xml:space="preserve">良好/  </w:t>
            </w:r>
            <w:r>
              <w:rPr>
                <w:rFonts w:hint="eastAsia"/>
                <w:highlight w:val="none"/>
                <w:u w:val="single"/>
              </w:rPr>
              <w:sym w:font="Wingdings" w:char="00A8"/>
            </w:r>
            <w:r>
              <w:rPr>
                <w:rFonts w:hint="eastAsia"/>
                <w:szCs w:val="21"/>
                <w:highlight w:val="none"/>
                <w:u w:val="single"/>
              </w:rPr>
              <w:t xml:space="preserve">欠佳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680" w:type="dxa"/>
            <w:vMerge w:val="continue"/>
            <w:shd w:val="clear" w:color="auto" w:fill="auto"/>
          </w:tcPr>
          <w:p>
            <w:pPr>
              <w:shd w:val="clear" w:color="auto"/>
            </w:pPr>
          </w:p>
        </w:tc>
        <w:tc>
          <w:tcPr>
            <w:tcW w:w="9634" w:type="dxa"/>
            <w:shd w:val="clear" w:color="auto" w:fill="auto"/>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80" w:type="dxa"/>
            <w:vMerge w:val="restart"/>
            <w:shd w:val="clear" w:color="auto" w:fill="auto"/>
          </w:tcPr>
          <w:p>
            <w:pPr>
              <w:shd w:val="clear" w:color="auto"/>
            </w:pPr>
            <w:r>
              <w:rPr>
                <w:rFonts w:hint="eastAsia"/>
              </w:rPr>
              <w:t>绩效评价</w:t>
            </w:r>
          </w:p>
        </w:tc>
        <w:tc>
          <w:tcPr>
            <w:tcW w:w="9634" w:type="dxa"/>
            <w:shd w:val="clear" w:color="auto" w:fill="auto"/>
          </w:tcPr>
          <w:p>
            <w:pPr>
              <w:shd w:val="clear" w:color="auto"/>
            </w:pPr>
            <w:r>
              <w:rPr>
                <w:rFonts w:hint="eastAsia"/>
              </w:rPr>
              <w:t>组织确定了监视和测量的对象、方法、时机及分析和评价的责任人；评估了食品安全绩效和食品安全管理体系的有效性。</w:t>
            </w:r>
          </w:p>
          <w:p>
            <w:pPr>
              <w:shd w:val="clear" w:color="auto"/>
            </w:pPr>
            <w:r>
              <w:rPr>
                <w:rFonts w:hint="eastAsia"/>
              </w:rPr>
              <w:t>组织监测和测量产生的数据和信息，包括：</w:t>
            </w:r>
          </w:p>
          <w:p>
            <w:pPr>
              <w:numPr>
                <w:ilvl w:val="0"/>
                <w:numId w:val="11"/>
              </w:numPr>
              <w:shd w:val="clear" w:color="auto"/>
            </w:pPr>
            <w:r>
              <w:rPr>
                <w:rFonts w:hint="eastAsia"/>
              </w:rPr>
              <w:t>PRP和危害控制计划</w:t>
            </w:r>
          </w:p>
          <w:p>
            <w:pPr>
              <w:numPr>
                <w:ilvl w:val="0"/>
                <w:numId w:val="11"/>
              </w:numPr>
              <w:shd w:val="clear" w:color="auto"/>
            </w:pPr>
            <w:r>
              <w:rPr>
                <w:rFonts w:hint="eastAsia"/>
              </w:rPr>
              <w:t>内部审核的结果</w:t>
            </w:r>
          </w:p>
          <w:p>
            <w:pPr>
              <w:numPr>
                <w:ilvl w:val="0"/>
                <w:numId w:val="11"/>
              </w:numPr>
              <w:shd w:val="clear" w:color="auto"/>
            </w:pPr>
            <w:r>
              <w:rPr>
                <w:rFonts w:hint="eastAsia"/>
              </w:rPr>
              <w:t>外部审核的结果。</w:t>
            </w:r>
          </w:p>
          <w:p>
            <w:pPr>
              <w:shd w:val="clear" w:color="auto"/>
            </w:pPr>
            <w:r>
              <w:rPr>
                <w:rFonts w:hint="eastAsia"/>
              </w:rPr>
              <w:t>进行了分析和评估：</w:t>
            </w:r>
          </w:p>
          <w:p>
            <w:pPr>
              <w:shd w:val="clear" w:color="auto"/>
            </w:pPr>
            <w:r>
              <w:rPr>
                <w:rFonts w:hint="eastAsia"/>
              </w:rPr>
              <w:t>a） 确认系统的总体绩效满足组织制定的计划安排和FSMS要求；</w:t>
            </w:r>
          </w:p>
          <w:p>
            <w:pPr>
              <w:shd w:val="clear" w:color="auto"/>
            </w:pPr>
            <w:r>
              <w:rPr>
                <w:rFonts w:hint="eastAsia"/>
              </w:rPr>
              <w:t>b） 确定更新或改进FSMS的必要性；</w:t>
            </w:r>
          </w:p>
          <w:p>
            <w:pPr>
              <w:shd w:val="clear" w:color="auto"/>
            </w:pPr>
            <w:r>
              <w:rPr>
                <w:rFonts w:hint="eastAsia"/>
              </w:rPr>
              <w:t>c） 识别潜在不安全产品或工艺故障发生率较高的趋势；</w:t>
            </w:r>
          </w:p>
          <w:p>
            <w:pPr>
              <w:shd w:val="clear" w:color="auto"/>
            </w:pPr>
            <w:r>
              <w:rPr>
                <w:rFonts w:hint="eastAsia"/>
              </w:rPr>
              <w:t>d） 建立与拟审核领域的现状和重要性有关的内部审核方案策划信息；</w:t>
            </w:r>
          </w:p>
          <w:p>
            <w:pPr>
              <w:shd w:val="clear" w:color="auto"/>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80" w:type="dxa"/>
            <w:vMerge w:val="continue"/>
            <w:shd w:val="clear" w:color="auto" w:fill="auto"/>
          </w:tcPr>
          <w:p>
            <w:pPr>
              <w:shd w:val="clear" w:color="auto"/>
            </w:pPr>
          </w:p>
        </w:tc>
        <w:tc>
          <w:tcPr>
            <w:tcW w:w="9634" w:type="dxa"/>
            <w:shd w:val="clear" w:color="auto" w:fill="auto"/>
          </w:tcPr>
          <w:p>
            <w:pPr>
              <w:shd w:val="clear" w:color="auto"/>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highlight w:val="none"/>
                <w:u w:val="single"/>
              </w:rPr>
              <w:t>20</w:t>
            </w:r>
            <w:r>
              <w:rPr>
                <w:rFonts w:hint="eastAsia"/>
                <w:highlight w:val="none"/>
                <w:u w:val="single"/>
                <w:lang w:val="en-US" w:eastAsia="zh-CN"/>
              </w:rPr>
              <w:t>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6</w:t>
            </w:r>
            <w:r>
              <w:rPr>
                <w:rFonts w:hint="eastAsia"/>
                <w:highlight w:val="none"/>
                <w:u w:val="single"/>
              </w:rPr>
              <w:t xml:space="preserve">  </w:t>
            </w:r>
            <w:r>
              <w:rPr>
                <w:rFonts w:hint="eastAsia"/>
                <w:highlight w:val="none"/>
              </w:rPr>
              <w:t>月</w:t>
            </w:r>
            <w:r>
              <w:rPr>
                <w:rFonts w:hint="eastAsia"/>
                <w:highlight w:val="none"/>
                <w:u w:val="single"/>
                <w:lang w:val="en-US" w:eastAsia="zh-CN"/>
              </w:rPr>
              <w:t>20</w:t>
            </w:r>
            <w:r>
              <w:rPr>
                <w:rFonts w:hint="eastAsia"/>
                <w:highlight w:val="none"/>
              </w:rPr>
              <w:t>日实施了食品安全管理体系内部审核，对食品安全管理体系的符合性和有效性进行了审核。内审发现的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pPr>
          </w:p>
          <w:p>
            <w:pPr>
              <w:shd w:val="clear" w:color="auto"/>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sym w:font="Wingdings" w:char="00A8"/>
            </w:r>
            <w:r>
              <w:rPr>
                <w:rFonts w:hint="eastAsia"/>
              </w:rPr>
              <w:t>内审贯穿了多场所/临时现场，内审的验证结论是正面的。管理者代表相应的职权覆盖了所有的场所。）</w:t>
            </w:r>
          </w:p>
          <w:p>
            <w:pPr>
              <w:shd w:val="clear" w:color="auto"/>
            </w:pPr>
          </w:p>
          <w:p>
            <w:pPr>
              <w:shd w:val="clear" w:color="auto"/>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sym w:font="Wingdings" w:char="00A8"/>
            </w:r>
            <w:r>
              <w:rPr>
                <w:rFonts w:hint="eastAsia"/>
              </w:rPr>
              <w:t>对所有班次的现场操作已审核。</w:t>
            </w:r>
          </w:p>
          <w:p>
            <w:pPr>
              <w:shd w:val="clear" w:color="auto"/>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highlight w:val="none"/>
              </w:rPr>
              <w:t>最高管理者已按策划的时间间隔，在</w:t>
            </w:r>
            <w:r>
              <w:rPr>
                <w:rFonts w:hint="eastAsia"/>
                <w:highlight w:val="none"/>
                <w:u w:val="single"/>
              </w:rPr>
              <w:t xml:space="preserve">  </w:t>
            </w:r>
            <w:r>
              <w:rPr>
                <w:highlight w:val="none"/>
                <w:u w:val="single"/>
              </w:rPr>
              <w:t>202</w:t>
            </w:r>
            <w:r>
              <w:rPr>
                <w:rFonts w:hint="eastAsia"/>
                <w:highlight w:val="none"/>
                <w:u w:val="single"/>
                <w:lang w:val="en-US" w:eastAsia="zh-CN"/>
              </w:rPr>
              <w:t>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6</w:t>
            </w:r>
            <w:r>
              <w:rPr>
                <w:rFonts w:hint="eastAsia"/>
                <w:highlight w:val="none"/>
                <w:u w:val="single"/>
              </w:rPr>
              <w:t xml:space="preserve">  </w:t>
            </w:r>
            <w:r>
              <w:rPr>
                <w:rFonts w:hint="eastAsia"/>
                <w:highlight w:val="none"/>
              </w:rPr>
              <w:t>月</w:t>
            </w:r>
            <w:r>
              <w:rPr>
                <w:rFonts w:hint="eastAsia"/>
                <w:highlight w:val="none"/>
                <w:u w:val="single"/>
                <w:lang w:val="en-US" w:eastAsia="zh-CN"/>
              </w:rPr>
              <w:t>30</w:t>
            </w:r>
            <w:r>
              <w:rPr>
                <w:rFonts w:hint="eastAsia"/>
                <w:highlight w:val="none"/>
                <w:u w:val="single"/>
              </w:rPr>
              <w:t xml:space="preserve">  </w:t>
            </w:r>
            <w:r>
              <w:rPr>
                <w:rFonts w:hint="eastAsia"/>
                <w:highlight w:val="none"/>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restart"/>
            <w:shd w:val="clear" w:color="auto" w:fill="auto"/>
          </w:tcPr>
          <w:p>
            <w:pPr>
              <w:shd w:val="clear" w:color="auto"/>
            </w:pPr>
            <w:r>
              <w:rPr>
                <w:rFonts w:hint="eastAsia"/>
              </w:rPr>
              <w:t>改进</w:t>
            </w:r>
          </w:p>
        </w:tc>
        <w:tc>
          <w:tcPr>
            <w:tcW w:w="9634" w:type="dxa"/>
            <w:shd w:val="clear" w:color="auto" w:fill="auto"/>
          </w:tcPr>
          <w:p>
            <w:pPr>
              <w:shd w:val="clear" w:color="auto"/>
            </w:pPr>
            <w:r>
              <w:rPr>
                <w:rFonts w:hint="eastAsia"/>
              </w:rPr>
              <w:t>组织针对食品安全管理体系运行中的不符合采取了有效纠正和纠正措施。针对下列方面采取了纠正措施：</w:t>
            </w:r>
          </w:p>
          <w:p>
            <w:pPr>
              <w:shd w:val="clear" w:color="auto"/>
            </w:pPr>
            <w:r>
              <w:rPr>
                <w:rFonts w:hint="eastAsia"/>
                <w:lang w:eastAsia="zh-CN"/>
              </w:rPr>
              <w:t>□</w:t>
            </w:r>
            <w:r>
              <w:rPr>
                <w:rFonts w:hint="eastAsia"/>
              </w:rPr>
              <w:t xml:space="preserve">不合格产品/服务 </w:t>
            </w:r>
            <w:r>
              <w:rPr>
                <w:rFonts w:hint="eastAsia"/>
                <w:lang w:eastAsia="zh-CN"/>
              </w:rPr>
              <w:t>□</w:t>
            </w:r>
            <w:r>
              <w:rPr>
                <w:rFonts w:hint="eastAsia"/>
              </w:rPr>
              <w:t xml:space="preserve">自我验证的结果 </w:t>
            </w:r>
            <w:r>
              <w:rPr>
                <w:rFonts w:hint="eastAsia"/>
                <w:lang w:eastAsia="zh-CN"/>
              </w:rPr>
              <w:t>□</w:t>
            </w:r>
            <w:r>
              <w:rPr>
                <w:rFonts w:hint="eastAsia"/>
              </w:rPr>
              <w:t xml:space="preserve">顾客投诉  </w:t>
            </w:r>
            <w:r>
              <w:rPr>
                <w:rFonts w:hint="eastAsia"/>
              </w:rPr>
              <w:sym w:font="Wingdings" w:char="00A8"/>
            </w:r>
            <w:r>
              <w:rPr>
                <w:rFonts w:hint="eastAsia"/>
              </w:rPr>
              <w:t xml:space="preserve">食品安全事故  </w:t>
            </w:r>
            <w:r>
              <w:rPr>
                <w:rFonts w:hint="eastAsia"/>
              </w:rPr>
              <w:sym w:font="Wingdings" w:char="00A8"/>
            </w:r>
            <w:r>
              <w:rPr>
                <w:rFonts w:hint="eastAsia"/>
              </w:rPr>
              <w:t>市场抽查不合格</w:t>
            </w:r>
          </w:p>
          <w:p>
            <w:pPr>
              <w:shd w:val="clear" w:color="auto"/>
            </w:pPr>
            <w:r>
              <w:rPr>
                <w:rFonts w:hint="eastAsia"/>
              </w:rPr>
              <w:t xml:space="preserve">☑内审不符合项   </w:t>
            </w:r>
            <w:r>
              <w:rPr>
                <w:rFonts w:hint="eastAsia"/>
              </w:rPr>
              <w:sym w:font="Wingdings" w:char="00A8"/>
            </w:r>
            <w:r>
              <w:rPr>
                <w:rFonts w:hint="eastAsia"/>
              </w:rPr>
              <w:t xml:space="preserve">外审不符合项 </w:t>
            </w:r>
            <w:r>
              <w:rPr>
                <w:rFonts w:hint="eastAsia"/>
                <w:lang w:eastAsia="zh-CN"/>
              </w:rPr>
              <w:t>□</w:t>
            </w:r>
            <w:r>
              <w:rPr>
                <w:rFonts w:hint="eastAsia"/>
              </w:rPr>
              <w:t xml:space="preserve">管理评审   </w:t>
            </w:r>
            <w:r>
              <w:rPr>
                <w:rFonts w:hint="eastAsia"/>
                <w:lang w:eastAsia="zh-CN"/>
              </w:rPr>
              <w:t>□</w:t>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组织持续改进FSMS的适宜性、充分性和有效性。</w:t>
            </w:r>
          </w:p>
          <w:p>
            <w:pPr>
              <w:shd w:val="clear" w:color="auto"/>
            </w:pPr>
            <w:r>
              <w:rPr>
                <w:rFonts w:hint="eastAsia"/>
              </w:rPr>
              <w:t>最高管理者应确保组织通过以下活动， 持续改进食品安全管理体系的有效性：</w:t>
            </w:r>
          </w:p>
          <w:p>
            <w:pPr>
              <w:shd w:val="clear" w:color="auto"/>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80" w:type="dxa"/>
            <w:vMerge w:val="continue"/>
            <w:shd w:val="clear" w:color="auto" w:fill="auto"/>
          </w:tcPr>
          <w:p>
            <w:pPr>
              <w:shd w:val="clear" w:color="auto"/>
            </w:pPr>
          </w:p>
        </w:tc>
        <w:tc>
          <w:tcPr>
            <w:tcW w:w="9634" w:type="dxa"/>
            <w:shd w:val="clear" w:color="auto" w:fill="auto"/>
          </w:tcPr>
          <w:p>
            <w:pPr>
              <w:shd w:val="clear" w:color="auto"/>
            </w:pPr>
            <w:r>
              <w:rPr>
                <w:rFonts w:hint="eastAsia"/>
              </w:rPr>
              <w:t>最高管理者建立了确保FSMS持续更新的机制。为此，食品安全小组应按计划间隔对食品安全管理体系进行了评估。</w:t>
            </w:r>
          </w:p>
          <w:p>
            <w:pPr>
              <w:shd w:val="clear" w:color="auto"/>
            </w:pPr>
            <w:r>
              <w:rPr>
                <w:rFonts w:hint="eastAsia"/>
              </w:rPr>
              <w:t>系统更新活动作为文件化信息保留，并作为输入报告给管理评审。</w:t>
            </w:r>
          </w:p>
        </w:tc>
      </w:tr>
    </w:tbl>
    <w:p>
      <w:pPr>
        <w:shd w:val="clear" w:color="auto"/>
      </w:pPr>
    </w:p>
    <w:tbl>
      <w:tblPr>
        <w:tblStyle w:val="9"/>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586"/>
        <w:gridCol w:w="607"/>
        <w:gridCol w:w="593"/>
        <w:gridCol w:w="622"/>
        <w:gridCol w:w="614"/>
        <w:gridCol w:w="601"/>
        <w:gridCol w:w="614"/>
        <w:gridCol w:w="663"/>
        <w:gridCol w:w="578"/>
        <w:gridCol w:w="566"/>
        <w:gridCol w:w="627"/>
        <w:gridCol w:w="626"/>
        <w:gridCol w:w="627"/>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lang w:val="en-GB"/>
              </w:rPr>
              <w:t>标准条款</w:t>
            </w:r>
          </w:p>
        </w:tc>
        <w:tc>
          <w:tcPr>
            <w:tcW w:w="586" w:type="dxa"/>
            <w:vAlign w:val="center"/>
          </w:tcPr>
          <w:p>
            <w:pPr>
              <w:shd w:val="clear" w:color="auto"/>
              <w:rPr>
                <w:highlight w:val="none"/>
                <w:lang w:eastAsia="ja-JP"/>
              </w:rPr>
            </w:pPr>
            <w:r>
              <w:rPr>
                <w:rFonts w:hint="eastAsia"/>
                <w:highlight w:val="none"/>
              </w:rPr>
              <w:t>4.1</w:t>
            </w:r>
          </w:p>
        </w:tc>
        <w:tc>
          <w:tcPr>
            <w:tcW w:w="607" w:type="dxa"/>
            <w:vAlign w:val="center"/>
          </w:tcPr>
          <w:p>
            <w:pPr>
              <w:shd w:val="clear" w:color="auto"/>
              <w:rPr>
                <w:highlight w:val="none"/>
                <w:lang w:eastAsia="ja-JP"/>
              </w:rPr>
            </w:pPr>
            <w:r>
              <w:rPr>
                <w:rFonts w:hint="eastAsia"/>
                <w:highlight w:val="none"/>
              </w:rPr>
              <w:t>4.2</w:t>
            </w:r>
          </w:p>
        </w:tc>
        <w:tc>
          <w:tcPr>
            <w:tcW w:w="593" w:type="dxa"/>
            <w:vAlign w:val="center"/>
          </w:tcPr>
          <w:p>
            <w:pPr>
              <w:shd w:val="clear" w:color="auto"/>
              <w:rPr>
                <w:highlight w:val="none"/>
                <w:lang w:eastAsia="ja-JP"/>
              </w:rPr>
            </w:pPr>
            <w:r>
              <w:rPr>
                <w:rFonts w:hint="eastAsia"/>
                <w:highlight w:val="none"/>
              </w:rPr>
              <w:t>4.3</w:t>
            </w:r>
          </w:p>
        </w:tc>
        <w:tc>
          <w:tcPr>
            <w:tcW w:w="622" w:type="dxa"/>
            <w:vAlign w:val="center"/>
          </w:tcPr>
          <w:p>
            <w:pPr>
              <w:shd w:val="clear" w:color="auto"/>
              <w:rPr>
                <w:highlight w:val="none"/>
                <w:lang w:eastAsia="ja-JP"/>
              </w:rPr>
            </w:pPr>
            <w:r>
              <w:rPr>
                <w:rFonts w:hint="eastAsia"/>
                <w:highlight w:val="none"/>
              </w:rPr>
              <w:t>4.4</w:t>
            </w:r>
          </w:p>
        </w:tc>
        <w:tc>
          <w:tcPr>
            <w:tcW w:w="614" w:type="dxa"/>
            <w:vAlign w:val="center"/>
          </w:tcPr>
          <w:p>
            <w:pPr>
              <w:shd w:val="clear" w:color="auto"/>
              <w:rPr>
                <w:highlight w:val="none"/>
                <w:lang w:eastAsia="ja-JP"/>
              </w:rPr>
            </w:pPr>
            <w:r>
              <w:rPr>
                <w:rFonts w:hint="eastAsia"/>
                <w:highlight w:val="none"/>
              </w:rPr>
              <w:t>5.1</w:t>
            </w:r>
          </w:p>
        </w:tc>
        <w:tc>
          <w:tcPr>
            <w:tcW w:w="601" w:type="dxa"/>
            <w:vAlign w:val="center"/>
          </w:tcPr>
          <w:p>
            <w:pPr>
              <w:shd w:val="clear" w:color="auto"/>
              <w:rPr>
                <w:highlight w:val="none"/>
                <w:lang w:eastAsia="ja-JP"/>
              </w:rPr>
            </w:pPr>
            <w:r>
              <w:rPr>
                <w:rFonts w:hint="eastAsia"/>
                <w:highlight w:val="none"/>
              </w:rPr>
              <w:t>5.2</w:t>
            </w:r>
          </w:p>
        </w:tc>
        <w:tc>
          <w:tcPr>
            <w:tcW w:w="614" w:type="dxa"/>
            <w:vAlign w:val="center"/>
          </w:tcPr>
          <w:p>
            <w:pPr>
              <w:shd w:val="clear" w:color="auto"/>
              <w:rPr>
                <w:highlight w:val="none"/>
                <w:lang w:eastAsia="ja-JP"/>
              </w:rPr>
            </w:pPr>
            <w:r>
              <w:rPr>
                <w:rFonts w:hint="eastAsia"/>
                <w:highlight w:val="none"/>
              </w:rPr>
              <w:t>5.3</w:t>
            </w:r>
          </w:p>
        </w:tc>
        <w:tc>
          <w:tcPr>
            <w:tcW w:w="663" w:type="dxa"/>
            <w:vAlign w:val="center"/>
          </w:tcPr>
          <w:p>
            <w:pPr>
              <w:shd w:val="clear" w:color="auto"/>
              <w:rPr>
                <w:highlight w:val="none"/>
                <w:lang w:eastAsia="ja-JP"/>
              </w:rPr>
            </w:pPr>
            <w:r>
              <w:rPr>
                <w:rFonts w:hint="eastAsia"/>
                <w:highlight w:val="none"/>
              </w:rPr>
              <w:t>6.1</w:t>
            </w:r>
          </w:p>
        </w:tc>
        <w:tc>
          <w:tcPr>
            <w:tcW w:w="578" w:type="dxa"/>
            <w:vAlign w:val="center"/>
          </w:tcPr>
          <w:p>
            <w:pPr>
              <w:shd w:val="clear" w:color="auto"/>
              <w:rPr>
                <w:highlight w:val="none"/>
              </w:rPr>
            </w:pPr>
            <w:r>
              <w:rPr>
                <w:rFonts w:hint="eastAsia"/>
                <w:highlight w:val="none"/>
              </w:rPr>
              <w:t>6.2</w:t>
            </w:r>
          </w:p>
        </w:tc>
        <w:tc>
          <w:tcPr>
            <w:tcW w:w="566" w:type="dxa"/>
            <w:vAlign w:val="center"/>
          </w:tcPr>
          <w:p>
            <w:pPr>
              <w:shd w:val="clear" w:color="auto"/>
              <w:rPr>
                <w:highlight w:val="none"/>
              </w:rPr>
            </w:pPr>
            <w:r>
              <w:rPr>
                <w:rFonts w:hint="eastAsia"/>
                <w:highlight w:val="none"/>
              </w:rPr>
              <w:t>6.3</w:t>
            </w:r>
          </w:p>
        </w:tc>
        <w:tc>
          <w:tcPr>
            <w:tcW w:w="627" w:type="dxa"/>
            <w:vAlign w:val="center"/>
          </w:tcPr>
          <w:p>
            <w:pPr>
              <w:shd w:val="clear" w:color="auto"/>
              <w:rPr>
                <w:highlight w:val="none"/>
                <w:lang w:eastAsia="ja-JP"/>
              </w:rPr>
            </w:pPr>
          </w:p>
        </w:tc>
        <w:tc>
          <w:tcPr>
            <w:tcW w:w="626" w:type="dxa"/>
            <w:vAlign w:val="center"/>
          </w:tcPr>
          <w:p>
            <w:pPr>
              <w:shd w:val="clear" w:color="auto"/>
              <w:rPr>
                <w:highlight w:val="none"/>
                <w:lang w:eastAsia="ja-JP"/>
              </w:rPr>
            </w:pPr>
          </w:p>
        </w:tc>
        <w:tc>
          <w:tcPr>
            <w:tcW w:w="627" w:type="dxa"/>
            <w:shd w:val="clear" w:color="auto" w:fill="BFBFBF"/>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lang w:val="en-GB"/>
              </w:rPr>
              <w:t>评价*)</w:t>
            </w:r>
          </w:p>
        </w:tc>
        <w:tc>
          <w:tcPr>
            <w:tcW w:w="586" w:type="dxa"/>
            <w:vAlign w:val="center"/>
          </w:tcPr>
          <w:p>
            <w:pPr>
              <w:shd w:val="clear" w:color="auto"/>
              <w:rPr>
                <w:highlight w:val="none"/>
              </w:rPr>
            </w:pPr>
            <w:r>
              <w:rPr>
                <w:rFonts w:hint="eastAsia"/>
                <w:highlight w:val="none"/>
              </w:rPr>
              <w:t>1</w:t>
            </w:r>
          </w:p>
        </w:tc>
        <w:tc>
          <w:tcPr>
            <w:tcW w:w="607" w:type="dxa"/>
            <w:vAlign w:val="center"/>
          </w:tcPr>
          <w:p>
            <w:pPr>
              <w:shd w:val="clear" w:color="auto"/>
              <w:rPr>
                <w:highlight w:val="none"/>
              </w:rPr>
            </w:pPr>
            <w:r>
              <w:rPr>
                <w:rFonts w:hint="eastAsia"/>
                <w:highlight w:val="none"/>
              </w:rPr>
              <w:t>1</w:t>
            </w:r>
          </w:p>
        </w:tc>
        <w:tc>
          <w:tcPr>
            <w:tcW w:w="593" w:type="dxa"/>
            <w:vAlign w:val="center"/>
          </w:tcPr>
          <w:p>
            <w:pPr>
              <w:shd w:val="clear" w:color="auto"/>
              <w:rPr>
                <w:highlight w:val="none"/>
              </w:rPr>
            </w:pPr>
            <w:r>
              <w:rPr>
                <w:rFonts w:hint="eastAsia"/>
                <w:highlight w:val="none"/>
              </w:rPr>
              <w:t>1</w:t>
            </w:r>
          </w:p>
        </w:tc>
        <w:tc>
          <w:tcPr>
            <w:tcW w:w="622" w:type="dxa"/>
            <w:vAlign w:val="center"/>
          </w:tcPr>
          <w:p>
            <w:pPr>
              <w:shd w:val="clear" w:color="auto"/>
              <w:rPr>
                <w:highlight w:val="none"/>
              </w:rPr>
            </w:pPr>
            <w:r>
              <w:rPr>
                <w:rFonts w:hint="eastAsia"/>
                <w:highlight w:val="none"/>
              </w:rPr>
              <w:t>1</w:t>
            </w:r>
          </w:p>
        </w:tc>
        <w:tc>
          <w:tcPr>
            <w:tcW w:w="614" w:type="dxa"/>
            <w:vAlign w:val="center"/>
          </w:tcPr>
          <w:p>
            <w:pPr>
              <w:shd w:val="clear" w:color="auto"/>
              <w:rPr>
                <w:highlight w:val="none"/>
              </w:rPr>
            </w:pPr>
            <w:r>
              <w:rPr>
                <w:rFonts w:hint="eastAsia"/>
                <w:highlight w:val="none"/>
              </w:rPr>
              <w:t>1</w:t>
            </w:r>
          </w:p>
        </w:tc>
        <w:tc>
          <w:tcPr>
            <w:tcW w:w="601" w:type="dxa"/>
            <w:vAlign w:val="center"/>
          </w:tcPr>
          <w:p>
            <w:pPr>
              <w:shd w:val="clear" w:color="auto"/>
              <w:rPr>
                <w:highlight w:val="none"/>
              </w:rPr>
            </w:pPr>
            <w:r>
              <w:rPr>
                <w:rFonts w:hint="eastAsia"/>
                <w:highlight w:val="none"/>
              </w:rPr>
              <w:t>1</w:t>
            </w:r>
          </w:p>
        </w:tc>
        <w:tc>
          <w:tcPr>
            <w:tcW w:w="614" w:type="dxa"/>
            <w:vAlign w:val="center"/>
          </w:tcPr>
          <w:p>
            <w:pPr>
              <w:shd w:val="clear" w:color="auto"/>
              <w:rPr>
                <w:highlight w:val="none"/>
              </w:rPr>
            </w:pPr>
            <w:r>
              <w:rPr>
                <w:rFonts w:hint="eastAsia"/>
                <w:highlight w:val="none"/>
              </w:rPr>
              <w:t>1</w:t>
            </w:r>
          </w:p>
        </w:tc>
        <w:tc>
          <w:tcPr>
            <w:tcW w:w="663" w:type="dxa"/>
            <w:vAlign w:val="center"/>
          </w:tcPr>
          <w:p>
            <w:pPr>
              <w:shd w:val="clear" w:color="auto"/>
              <w:rPr>
                <w:highlight w:val="none"/>
              </w:rPr>
            </w:pPr>
            <w:r>
              <w:rPr>
                <w:rFonts w:hint="eastAsia"/>
                <w:highlight w:val="none"/>
              </w:rPr>
              <w:t>1</w:t>
            </w:r>
          </w:p>
        </w:tc>
        <w:tc>
          <w:tcPr>
            <w:tcW w:w="578" w:type="dxa"/>
            <w:vAlign w:val="center"/>
          </w:tcPr>
          <w:p>
            <w:pPr>
              <w:shd w:val="clear" w:color="auto"/>
              <w:rPr>
                <w:highlight w:val="none"/>
              </w:rPr>
            </w:pPr>
            <w:r>
              <w:rPr>
                <w:rFonts w:hint="eastAsia"/>
                <w:highlight w:val="none"/>
              </w:rPr>
              <w:t>1</w:t>
            </w:r>
          </w:p>
        </w:tc>
        <w:tc>
          <w:tcPr>
            <w:tcW w:w="566" w:type="dxa"/>
            <w:vAlign w:val="center"/>
          </w:tcPr>
          <w:p>
            <w:pPr>
              <w:shd w:val="clear" w:color="auto"/>
              <w:rPr>
                <w:highlight w:val="none"/>
              </w:rPr>
            </w:pPr>
            <w:r>
              <w:rPr>
                <w:rFonts w:hint="eastAsia"/>
                <w:highlight w:val="none"/>
              </w:rPr>
              <w:t>1</w:t>
            </w:r>
          </w:p>
        </w:tc>
        <w:tc>
          <w:tcPr>
            <w:tcW w:w="627" w:type="dxa"/>
            <w:vAlign w:val="center"/>
          </w:tcPr>
          <w:p>
            <w:pPr>
              <w:shd w:val="clear" w:color="auto"/>
              <w:rPr>
                <w:highlight w:val="none"/>
                <w:lang w:eastAsia="ja-JP"/>
              </w:rPr>
            </w:pPr>
          </w:p>
        </w:tc>
        <w:tc>
          <w:tcPr>
            <w:tcW w:w="626" w:type="dxa"/>
            <w:vAlign w:val="center"/>
          </w:tcPr>
          <w:p>
            <w:pPr>
              <w:shd w:val="clear" w:color="auto"/>
              <w:rPr>
                <w:highlight w:val="none"/>
                <w:lang w:eastAsia="ja-JP"/>
              </w:rPr>
            </w:pPr>
          </w:p>
        </w:tc>
        <w:tc>
          <w:tcPr>
            <w:tcW w:w="627" w:type="dxa"/>
            <w:shd w:val="clear" w:color="auto" w:fill="BFBFBF"/>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rPr>
            </w:pPr>
            <w:r>
              <w:rPr>
                <w:rFonts w:hint="eastAsia"/>
                <w:highlight w:val="none"/>
              </w:rPr>
              <w:t>不符合数量</w:t>
            </w:r>
          </w:p>
        </w:tc>
        <w:tc>
          <w:tcPr>
            <w:tcW w:w="586" w:type="dxa"/>
            <w:vAlign w:val="center"/>
          </w:tcPr>
          <w:p>
            <w:pPr>
              <w:shd w:val="clear" w:color="auto"/>
              <w:rPr>
                <w:highlight w:val="none"/>
                <w:lang w:eastAsia="ja-JP"/>
              </w:rPr>
            </w:pPr>
          </w:p>
        </w:tc>
        <w:tc>
          <w:tcPr>
            <w:tcW w:w="607" w:type="dxa"/>
            <w:vAlign w:val="center"/>
          </w:tcPr>
          <w:p>
            <w:pPr>
              <w:shd w:val="clear" w:color="auto"/>
              <w:rPr>
                <w:highlight w:val="none"/>
                <w:lang w:eastAsia="ja-JP"/>
              </w:rPr>
            </w:pPr>
          </w:p>
        </w:tc>
        <w:tc>
          <w:tcPr>
            <w:tcW w:w="593" w:type="dxa"/>
            <w:vAlign w:val="center"/>
          </w:tcPr>
          <w:p>
            <w:pPr>
              <w:shd w:val="clear" w:color="auto"/>
              <w:rPr>
                <w:highlight w:val="none"/>
                <w:lang w:eastAsia="ja-JP"/>
              </w:rPr>
            </w:pPr>
          </w:p>
        </w:tc>
        <w:tc>
          <w:tcPr>
            <w:tcW w:w="622" w:type="dxa"/>
            <w:vAlign w:val="center"/>
          </w:tcPr>
          <w:p>
            <w:pPr>
              <w:shd w:val="clear" w:color="auto"/>
              <w:rPr>
                <w:highlight w:val="none"/>
                <w:lang w:eastAsia="ja-JP"/>
              </w:rPr>
            </w:pPr>
          </w:p>
        </w:tc>
        <w:tc>
          <w:tcPr>
            <w:tcW w:w="614" w:type="dxa"/>
            <w:vAlign w:val="center"/>
          </w:tcPr>
          <w:p>
            <w:pPr>
              <w:shd w:val="clear" w:color="auto"/>
              <w:rPr>
                <w:highlight w:val="none"/>
                <w:lang w:eastAsia="ja-JP"/>
              </w:rPr>
            </w:pPr>
          </w:p>
        </w:tc>
        <w:tc>
          <w:tcPr>
            <w:tcW w:w="601" w:type="dxa"/>
            <w:vAlign w:val="center"/>
          </w:tcPr>
          <w:p>
            <w:pPr>
              <w:shd w:val="clear" w:color="auto"/>
              <w:rPr>
                <w:highlight w:val="none"/>
                <w:lang w:eastAsia="ja-JP"/>
              </w:rPr>
            </w:pPr>
          </w:p>
        </w:tc>
        <w:tc>
          <w:tcPr>
            <w:tcW w:w="614" w:type="dxa"/>
            <w:vAlign w:val="center"/>
          </w:tcPr>
          <w:p>
            <w:pPr>
              <w:shd w:val="clear" w:color="auto"/>
              <w:rPr>
                <w:highlight w:val="none"/>
                <w:lang w:eastAsia="ja-JP"/>
              </w:rPr>
            </w:pPr>
          </w:p>
        </w:tc>
        <w:tc>
          <w:tcPr>
            <w:tcW w:w="663" w:type="dxa"/>
            <w:vAlign w:val="center"/>
          </w:tcPr>
          <w:p>
            <w:pPr>
              <w:shd w:val="clear" w:color="auto"/>
              <w:rPr>
                <w:highlight w:val="none"/>
                <w:lang w:eastAsia="ja-JP"/>
              </w:rPr>
            </w:pPr>
          </w:p>
        </w:tc>
        <w:tc>
          <w:tcPr>
            <w:tcW w:w="578" w:type="dxa"/>
            <w:vAlign w:val="center"/>
          </w:tcPr>
          <w:p>
            <w:pPr>
              <w:shd w:val="clear" w:color="auto"/>
              <w:rPr>
                <w:highlight w:val="none"/>
                <w:lang w:eastAsia="ja-JP"/>
              </w:rPr>
            </w:pPr>
          </w:p>
        </w:tc>
        <w:tc>
          <w:tcPr>
            <w:tcW w:w="566" w:type="dxa"/>
            <w:vAlign w:val="center"/>
          </w:tcPr>
          <w:p>
            <w:pPr>
              <w:shd w:val="clear" w:color="auto"/>
              <w:rPr>
                <w:highlight w:val="none"/>
                <w:lang w:eastAsia="ja-JP"/>
              </w:rPr>
            </w:pPr>
          </w:p>
        </w:tc>
        <w:tc>
          <w:tcPr>
            <w:tcW w:w="627" w:type="dxa"/>
            <w:vAlign w:val="center"/>
          </w:tcPr>
          <w:p>
            <w:pPr>
              <w:shd w:val="clear" w:color="auto"/>
              <w:rPr>
                <w:highlight w:val="none"/>
                <w:lang w:eastAsia="ja-JP"/>
              </w:rPr>
            </w:pPr>
          </w:p>
        </w:tc>
        <w:tc>
          <w:tcPr>
            <w:tcW w:w="626" w:type="dxa"/>
            <w:vAlign w:val="center"/>
          </w:tcPr>
          <w:p>
            <w:pPr>
              <w:shd w:val="clear" w:color="auto"/>
              <w:rPr>
                <w:highlight w:val="none"/>
                <w:lang w:eastAsia="ja-JP"/>
              </w:rPr>
            </w:pPr>
          </w:p>
        </w:tc>
        <w:tc>
          <w:tcPr>
            <w:tcW w:w="627" w:type="dxa"/>
            <w:shd w:val="clear" w:color="auto" w:fill="BFBFBF"/>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lang w:val="en-GB"/>
              </w:rPr>
              <w:t>标准条款</w:t>
            </w:r>
          </w:p>
        </w:tc>
        <w:tc>
          <w:tcPr>
            <w:tcW w:w="586" w:type="dxa"/>
            <w:vAlign w:val="center"/>
          </w:tcPr>
          <w:p>
            <w:pPr>
              <w:shd w:val="clear" w:color="auto"/>
              <w:rPr>
                <w:highlight w:val="none"/>
                <w:lang w:eastAsia="ja-JP"/>
              </w:rPr>
            </w:pPr>
            <w:r>
              <w:rPr>
                <w:rFonts w:hint="eastAsia"/>
                <w:highlight w:val="none"/>
              </w:rPr>
              <w:t>7.1</w:t>
            </w:r>
          </w:p>
        </w:tc>
        <w:tc>
          <w:tcPr>
            <w:tcW w:w="607" w:type="dxa"/>
            <w:vAlign w:val="center"/>
          </w:tcPr>
          <w:p>
            <w:pPr>
              <w:shd w:val="clear" w:color="auto"/>
              <w:rPr>
                <w:highlight w:val="none"/>
                <w:lang w:eastAsia="ja-JP"/>
              </w:rPr>
            </w:pPr>
            <w:r>
              <w:rPr>
                <w:rFonts w:hint="eastAsia"/>
                <w:highlight w:val="none"/>
              </w:rPr>
              <w:t>7.2</w:t>
            </w:r>
          </w:p>
        </w:tc>
        <w:tc>
          <w:tcPr>
            <w:tcW w:w="593" w:type="dxa"/>
            <w:vAlign w:val="center"/>
          </w:tcPr>
          <w:p>
            <w:pPr>
              <w:shd w:val="clear" w:color="auto"/>
              <w:rPr>
                <w:highlight w:val="none"/>
                <w:lang w:eastAsia="ja-JP"/>
              </w:rPr>
            </w:pPr>
            <w:r>
              <w:rPr>
                <w:rFonts w:hint="eastAsia"/>
                <w:highlight w:val="none"/>
              </w:rPr>
              <w:t>7.3</w:t>
            </w:r>
          </w:p>
        </w:tc>
        <w:tc>
          <w:tcPr>
            <w:tcW w:w="622" w:type="dxa"/>
            <w:vAlign w:val="center"/>
          </w:tcPr>
          <w:p>
            <w:pPr>
              <w:shd w:val="clear" w:color="auto"/>
              <w:rPr>
                <w:highlight w:val="none"/>
                <w:lang w:eastAsia="ja-JP"/>
              </w:rPr>
            </w:pPr>
            <w:r>
              <w:rPr>
                <w:rFonts w:hint="eastAsia"/>
                <w:highlight w:val="none"/>
              </w:rPr>
              <w:t>7.4</w:t>
            </w:r>
          </w:p>
        </w:tc>
        <w:tc>
          <w:tcPr>
            <w:tcW w:w="614" w:type="dxa"/>
            <w:vAlign w:val="center"/>
          </w:tcPr>
          <w:p>
            <w:pPr>
              <w:shd w:val="clear" w:color="auto"/>
              <w:rPr>
                <w:highlight w:val="none"/>
                <w:lang w:eastAsia="ja-JP"/>
              </w:rPr>
            </w:pPr>
            <w:r>
              <w:rPr>
                <w:rFonts w:hint="eastAsia"/>
                <w:highlight w:val="none"/>
              </w:rPr>
              <w:t>7.5</w:t>
            </w:r>
          </w:p>
        </w:tc>
        <w:tc>
          <w:tcPr>
            <w:tcW w:w="601" w:type="dxa"/>
            <w:vAlign w:val="center"/>
          </w:tcPr>
          <w:p>
            <w:pPr>
              <w:shd w:val="clear" w:color="auto"/>
              <w:rPr>
                <w:highlight w:val="none"/>
                <w:lang w:eastAsia="ja-JP"/>
              </w:rPr>
            </w:pPr>
            <w:r>
              <w:rPr>
                <w:rFonts w:hint="eastAsia"/>
                <w:highlight w:val="none"/>
              </w:rPr>
              <w:t>8.1</w:t>
            </w:r>
          </w:p>
        </w:tc>
        <w:tc>
          <w:tcPr>
            <w:tcW w:w="614" w:type="dxa"/>
            <w:vAlign w:val="center"/>
          </w:tcPr>
          <w:p>
            <w:pPr>
              <w:shd w:val="clear" w:color="auto"/>
              <w:rPr>
                <w:highlight w:val="none"/>
                <w:lang w:eastAsia="ja-JP"/>
              </w:rPr>
            </w:pPr>
            <w:r>
              <w:rPr>
                <w:rFonts w:hint="eastAsia"/>
                <w:highlight w:val="none"/>
              </w:rPr>
              <w:t>8.2</w:t>
            </w:r>
          </w:p>
        </w:tc>
        <w:tc>
          <w:tcPr>
            <w:tcW w:w="663" w:type="dxa"/>
            <w:vAlign w:val="center"/>
          </w:tcPr>
          <w:p>
            <w:pPr>
              <w:shd w:val="clear" w:color="auto"/>
              <w:rPr>
                <w:highlight w:val="none"/>
                <w:lang w:eastAsia="ja-JP"/>
              </w:rPr>
            </w:pPr>
            <w:r>
              <w:rPr>
                <w:rFonts w:hint="eastAsia"/>
                <w:highlight w:val="none"/>
              </w:rPr>
              <w:t>8.3</w:t>
            </w:r>
          </w:p>
        </w:tc>
        <w:tc>
          <w:tcPr>
            <w:tcW w:w="578" w:type="dxa"/>
            <w:vAlign w:val="center"/>
          </w:tcPr>
          <w:p>
            <w:pPr>
              <w:shd w:val="clear" w:color="auto"/>
              <w:rPr>
                <w:highlight w:val="none"/>
              </w:rPr>
            </w:pPr>
            <w:r>
              <w:rPr>
                <w:rFonts w:hint="eastAsia"/>
                <w:highlight w:val="none"/>
              </w:rPr>
              <w:t>8.4</w:t>
            </w:r>
          </w:p>
        </w:tc>
        <w:tc>
          <w:tcPr>
            <w:tcW w:w="566" w:type="dxa"/>
            <w:vAlign w:val="center"/>
          </w:tcPr>
          <w:p>
            <w:pPr>
              <w:shd w:val="clear" w:color="auto"/>
              <w:rPr>
                <w:highlight w:val="none"/>
              </w:rPr>
            </w:pPr>
            <w:r>
              <w:rPr>
                <w:rFonts w:hint="eastAsia"/>
                <w:highlight w:val="none"/>
              </w:rPr>
              <w:t>8.5</w:t>
            </w:r>
          </w:p>
        </w:tc>
        <w:tc>
          <w:tcPr>
            <w:tcW w:w="627" w:type="dxa"/>
            <w:vAlign w:val="center"/>
          </w:tcPr>
          <w:p>
            <w:pPr>
              <w:shd w:val="clear" w:color="auto"/>
              <w:rPr>
                <w:highlight w:val="none"/>
                <w:lang w:eastAsia="ja-JP"/>
              </w:rPr>
            </w:pPr>
            <w:r>
              <w:rPr>
                <w:rFonts w:hint="eastAsia"/>
                <w:highlight w:val="none"/>
              </w:rPr>
              <w:t>8.6</w:t>
            </w:r>
          </w:p>
        </w:tc>
        <w:tc>
          <w:tcPr>
            <w:tcW w:w="626" w:type="dxa"/>
            <w:vAlign w:val="center"/>
          </w:tcPr>
          <w:p>
            <w:pPr>
              <w:shd w:val="clear" w:color="auto"/>
              <w:rPr>
                <w:highlight w:val="none"/>
                <w:lang w:eastAsia="ja-JP"/>
              </w:rPr>
            </w:pPr>
            <w:r>
              <w:rPr>
                <w:rFonts w:hint="eastAsia"/>
                <w:highlight w:val="none"/>
              </w:rPr>
              <w:t>8.7</w:t>
            </w:r>
          </w:p>
        </w:tc>
        <w:tc>
          <w:tcPr>
            <w:tcW w:w="627" w:type="dxa"/>
            <w:vAlign w:val="center"/>
          </w:tcPr>
          <w:p>
            <w:pPr>
              <w:shd w:val="clear" w:color="auto"/>
              <w:rPr>
                <w:highlight w:val="none"/>
                <w:lang w:eastAsia="ja-JP"/>
              </w:rPr>
            </w:pPr>
            <w:r>
              <w:rPr>
                <w:rFonts w:hint="eastAsia"/>
                <w:highlight w:val="none"/>
              </w:rPr>
              <w:t>8.8</w:t>
            </w:r>
          </w:p>
        </w:tc>
        <w:tc>
          <w:tcPr>
            <w:tcW w:w="627" w:type="dxa"/>
            <w:vAlign w:val="center"/>
          </w:tcPr>
          <w:p>
            <w:pPr>
              <w:shd w:val="clear" w:color="auto"/>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lang w:val="en-GB"/>
              </w:rPr>
              <w:t>评价*)</w:t>
            </w:r>
          </w:p>
        </w:tc>
        <w:tc>
          <w:tcPr>
            <w:tcW w:w="586" w:type="dxa"/>
            <w:vAlign w:val="center"/>
          </w:tcPr>
          <w:p>
            <w:pPr>
              <w:shd w:val="clear" w:color="auto"/>
              <w:rPr>
                <w:rFonts w:hint="eastAsia" w:eastAsia="宋体"/>
                <w:highlight w:val="none"/>
                <w:lang w:eastAsia="zh-CN"/>
              </w:rPr>
            </w:pPr>
            <w:r>
              <w:rPr>
                <w:rFonts w:hint="eastAsia"/>
                <w:highlight w:val="none"/>
                <w:lang w:val="en-US" w:eastAsia="zh-CN"/>
              </w:rPr>
              <w:t>3</w:t>
            </w:r>
          </w:p>
        </w:tc>
        <w:tc>
          <w:tcPr>
            <w:tcW w:w="607" w:type="dxa"/>
            <w:vAlign w:val="center"/>
          </w:tcPr>
          <w:p>
            <w:pPr>
              <w:shd w:val="clear" w:color="auto"/>
              <w:rPr>
                <w:rFonts w:hint="eastAsia" w:eastAsia="宋体"/>
                <w:highlight w:val="none"/>
                <w:lang w:eastAsia="zh-CN"/>
              </w:rPr>
            </w:pPr>
            <w:r>
              <w:rPr>
                <w:rFonts w:hint="eastAsia"/>
                <w:highlight w:val="none"/>
                <w:lang w:val="en-US" w:eastAsia="zh-CN"/>
              </w:rPr>
              <w:t>1</w:t>
            </w:r>
          </w:p>
        </w:tc>
        <w:tc>
          <w:tcPr>
            <w:tcW w:w="593" w:type="dxa"/>
            <w:vAlign w:val="center"/>
          </w:tcPr>
          <w:p>
            <w:pPr>
              <w:shd w:val="clear" w:color="auto"/>
              <w:rPr>
                <w:highlight w:val="none"/>
              </w:rPr>
            </w:pPr>
            <w:r>
              <w:rPr>
                <w:rFonts w:hint="eastAsia"/>
                <w:highlight w:val="none"/>
              </w:rPr>
              <w:t>1</w:t>
            </w:r>
          </w:p>
        </w:tc>
        <w:tc>
          <w:tcPr>
            <w:tcW w:w="622" w:type="dxa"/>
            <w:vAlign w:val="center"/>
          </w:tcPr>
          <w:p>
            <w:pPr>
              <w:shd w:val="clear" w:color="auto"/>
              <w:rPr>
                <w:highlight w:val="none"/>
              </w:rPr>
            </w:pPr>
            <w:r>
              <w:rPr>
                <w:rFonts w:hint="eastAsia"/>
                <w:highlight w:val="none"/>
              </w:rPr>
              <w:t>1</w:t>
            </w:r>
          </w:p>
        </w:tc>
        <w:tc>
          <w:tcPr>
            <w:tcW w:w="614" w:type="dxa"/>
            <w:vAlign w:val="center"/>
          </w:tcPr>
          <w:p>
            <w:pPr>
              <w:shd w:val="clear" w:color="auto"/>
              <w:rPr>
                <w:highlight w:val="none"/>
              </w:rPr>
            </w:pPr>
            <w:r>
              <w:rPr>
                <w:rFonts w:hint="eastAsia"/>
                <w:highlight w:val="none"/>
              </w:rPr>
              <w:t>1</w:t>
            </w:r>
          </w:p>
        </w:tc>
        <w:tc>
          <w:tcPr>
            <w:tcW w:w="601" w:type="dxa"/>
            <w:vAlign w:val="center"/>
          </w:tcPr>
          <w:p>
            <w:pPr>
              <w:shd w:val="clear" w:color="auto"/>
              <w:rPr>
                <w:highlight w:val="none"/>
              </w:rPr>
            </w:pPr>
            <w:r>
              <w:rPr>
                <w:rFonts w:hint="eastAsia"/>
                <w:highlight w:val="none"/>
              </w:rPr>
              <w:t>1</w:t>
            </w:r>
          </w:p>
        </w:tc>
        <w:tc>
          <w:tcPr>
            <w:tcW w:w="614" w:type="dxa"/>
            <w:vAlign w:val="center"/>
          </w:tcPr>
          <w:p>
            <w:pPr>
              <w:shd w:val="clear" w:color="auto"/>
              <w:rPr>
                <w:rFonts w:hint="eastAsia" w:eastAsia="宋体"/>
                <w:highlight w:val="none"/>
                <w:lang w:eastAsia="zh-CN"/>
              </w:rPr>
            </w:pPr>
            <w:r>
              <w:rPr>
                <w:rFonts w:hint="eastAsia"/>
                <w:highlight w:val="none"/>
                <w:lang w:val="en-US" w:eastAsia="zh-CN"/>
              </w:rPr>
              <w:t>3</w:t>
            </w:r>
          </w:p>
        </w:tc>
        <w:tc>
          <w:tcPr>
            <w:tcW w:w="663" w:type="dxa"/>
            <w:vAlign w:val="center"/>
          </w:tcPr>
          <w:p>
            <w:pPr>
              <w:shd w:val="clear" w:color="auto"/>
              <w:rPr>
                <w:highlight w:val="none"/>
              </w:rPr>
            </w:pPr>
            <w:r>
              <w:rPr>
                <w:rFonts w:hint="eastAsia"/>
                <w:highlight w:val="none"/>
              </w:rPr>
              <w:t>1</w:t>
            </w:r>
          </w:p>
        </w:tc>
        <w:tc>
          <w:tcPr>
            <w:tcW w:w="578" w:type="dxa"/>
            <w:vAlign w:val="center"/>
          </w:tcPr>
          <w:p>
            <w:pPr>
              <w:shd w:val="clear" w:color="auto"/>
              <w:rPr>
                <w:highlight w:val="none"/>
              </w:rPr>
            </w:pPr>
            <w:r>
              <w:rPr>
                <w:rFonts w:hint="eastAsia"/>
                <w:highlight w:val="none"/>
              </w:rPr>
              <w:t>1</w:t>
            </w:r>
          </w:p>
        </w:tc>
        <w:tc>
          <w:tcPr>
            <w:tcW w:w="566" w:type="dxa"/>
            <w:vAlign w:val="center"/>
          </w:tcPr>
          <w:p>
            <w:pPr>
              <w:shd w:val="clear" w:color="auto"/>
              <w:rPr>
                <w:rFonts w:hint="eastAsia" w:eastAsia="宋体"/>
                <w:highlight w:val="none"/>
                <w:lang w:eastAsia="zh-CN"/>
              </w:rPr>
            </w:pPr>
            <w:r>
              <w:rPr>
                <w:rFonts w:hint="eastAsia"/>
                <w:highlight w:val="none"/>
                <w:lang w:val="en-US" w:eastAsia="zh-CN"/>
              </w:rPr>
              <w:t>3</w:t>
            </w:r>
          </w:p>
        </w:tc>
        <w:tc>
          <w:tcPr>
            <w:tcW w:w="627" w:type="dxa"/>
            <w:vAlign w:val="center"/>
          </w:tcPr>
          <w:p>
            <w:pPr>
              <w:shd w:val="clear" w:color="auto"/>
              <w:rPr>
                <w:highlight w:val="none"/>
              </w:rPr>
            </w:pPr>
            <w:r>
              <w:rPr>
                <w:rFonts w:hint="eastAsia"/>
                <w:highlight w:val="none"/>
              </w:rPr>
              <w:t>1</w:t>
            </w:r>
          </w:p>
        </w:tc>
        <w:tc>
          <w:tcPr>
            <w:tcW w:w="626" w:type="dxa"/>
            <w:vAlign w:val="center"/>
          </w:tcPr>
          <w:p>
            <w:pPr>
              <w:shd w:val="clear" w:color="auto"/>
              <w:rPr>
                <w:rFonts w:hint="eastAsia" w:eastAsia="宋体"/>
                <w:highlight w:val="none"/>
                <w:lang w:eastAsia="zh-CN"/>
              </w:rPr>
            </w:pPr>
            <w:r>
              <w:rPr>
                <w:rFonts w:hint="eastAsia"/>
                <w:highlight w:val="none"/>
                <w:lang w:val="en-US" w:eastAsia="zh-CN"/>
              </w:rPr>
              <w:t>3</w:t>
            </w:r>
          </w:p>
        </w:tc>
        <w:tc>
          <w:tcPr>
            <w:tcW w:w="627" w:type="dxa"/>
            <w:vAlign w:val="center"/>
          </w:tcPr>
          <w:p>
            <w:pPr>
              <w:shd w:val="clear" w:color="auto"/>
              <w:rPr>
                <w:highlight w:val="none"/>
              </w:rPr>
            </w:pPr>
            <w:r>
              <w:rPr>
                <w:rFonts w:hint="eastAsia"/>
                <w:highlight w:val="none"/>
              </w:rPr>
              <w:t>1</w:t>
            </w:r>
          </w:p>
        </w:tc>
        <w:tc>
          <w:tcPr>
            <w:tcW w:w="627" w:type="dxa"/>
            <w:vAlign w:val="center"/>
          </w:tcPr>
          <w:p>
            <w:pPr>
              <w:shd w:val="clear" w:color="auto"/>
              <w:rPr>
                <w:highlight w:val="none"/>
              </w:rPr>
            </w:pPr>
            <w:r>
              <w:rPr>
                <w:rFonts w:hint="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rPr>
              <w:t>不符合数量</w:t>
            </w:r>
          </w:p>
        </w:tc>
        <w:tc>
          <w:tcPr>
            <w:tcW w:w="586" w:type="dxa"/>
            <w:vAlign w:val="center"/>
          </w:tcPr>
          <w:p>
            <w:pPr>
              <w:shd w:val="clear" w:color="auto"/>
              <w:rPr>
                <w:rFonts w:hint="default" w:eastAsia="宋体"/>
                <w:highlight w:val="none"/>
                <w:lang w:val="en-US" w:eastAsia="zh-CN"/>
              </w:rPr>
            </w:pPr>
            <w:r>
              <w:rPr>
                <w:rFonts w:hint="eastAsia"/>
                <w:highlight w:val="none"/>
                <w:lang w:val="en-US" w:eastAsia="zh-CN"/>
              </w:rPr>
              <w:t>01</w:t>
            </w:r>
          </w:p>
        </w:tc>
        <w:tc>
          <w:tcPr>
            <w:tcW w:w="607" w:type="dxa"/>
            <w:vAlign w:val="center"/>
          </w:tcPr>
          <w:p>
            <w:pPr>
              <w:shd w:val="clear" w:color="auto"/>
              <w:rPr>
                <w:highlight w:val="none"/>
                <w:lang w:eastAsia="ja-JP"/>
              </w:rPr>
            </w:pPr>
          </w:p>
        </w:tc>
        <w:tc>
          <w:tcPr>
            <w:tcW w:w="593" w:type="dxa"/>
            <w:vAlign w:val="center"/>
          </w:tcPr>
          <w:p>
            <w:pPr>
              <w:shd w:val="clear" w:color="auto"/>
              <w:rPr>
                <w:highlight w:val="none"/>
                <w:lang w:eastAsia="ja-JP"/>
              </w:rPr>
            </w:pPr>
          </w:p>
        </w:tc>
        <w:tc>
          <w:tcPr>
            <w:tcW w:w="622" w:type="dxa"/>
            <w:vAlign w:val="center"/>
          </w:tcPr>
          <w:p>
            <w:pPr>
              <w:shd w:val="clear" w:color="auto"/>
              <w:rPr>
                <w:highlight w:val="none"/>
                <w:lang w:eastAsia="ja-JP"/>
              </w:rPr>
            </w:pPr>
          </w:p>
        </w:tc>
        <w:tc>
          <w:tcPr>
            <w:tcW w:w="614" w:type="dxa"/>
            <w:vAlign w:val="center"/>
          </w:tcPr>
          <w:p>
            <w:pPr>
              <w:shd w:val="clear" w:color="auto"/>
              <w:rPr>
                <w:rFonts w:hint="default" w:eastAsia="宋体"/>
                <w:highlight w:val="none"/>
                <w:lang w:val="en-US" w:eastAsia="zh-CN"/>
              </w:rPr>
            </w:pPr>
          </w:p>
        </w:tc>
        <w:tc>
          <w:tcPr>
            <w:tcW w:w="601" w:type="dxa"/>
            <w:vAlign w:val="center"/>
          </w:tcPr>
          <w:p>
            <w:pPr>
              <w:shd w:val="clear" w:color="auto"/>
              <w:rPr>
                <w:highlight w:val="none"/>
                <w:lang w:eastAsia="ja-JP"/>
              </w:rPr>
            </w:pPr>
          </w:p>
        </w:tc>
        <w:tc>
          <w:tcPr>
            <w:tcW w:w="614" w:type="dxa"/>
            <w:tcBorders>
              <w:bottom w:val="single" w:color="auto" w:sz="4" w:space="0"/>
            </w:tcBorders>
            <w:vAlign w:val="center"/>
          </w:tcPr>
          <w:p>
            <w:pPr>
              <w:shd w:val="clear" w:color="auto"/>
              <w:rPr>
                <w:rFonts w:hint="eastAsia" w:eastAsia="宋体"/>
                <w:highlight w:val="none"/>
                <w:lang w:eastAsia="zh-CN"/>
              </w:rPr>
            </w:pPr>
          </w:p>
        </w:tc>
        <w:tc>
          <w:tcPr>
            <w:tcW w:w="663" w:type="dxa"/>
            <w:tcBorders>
              <w:bottom w:val="single" w:color="auto" w:sz="4" w:space="0"/>
            </w:tcBorders>
            <w:vAlign w:val="center"/>
          </w:tcPr>
          <w:p>
            <w:pPr>
              <w:shd w:val="clear" w:color="auto"/>
              <w:rPr>
                <w:highlight w:val="none"/>
                <w:lang w:eastAsia="ja-JP"/>
              </w:rPr>
            </w:pPr>
          </w:p>
        </w:tc>
        <w:tc>
          <w:tcPr>
            <w:tcW w:w="578" w:type="dxa"/>
            <w:tcBorders>
              <w:bottom w:val="single" w:color="auto" w:sz="4" w:space="0"/>
            </w:tcBorders>
            <w:vAlign w:val="center"/>
          </w:tcPr>
          <w:p>
            <w:pPr>
              <w:shd w:val="clear" w:color="auto"/>
              <w:rPr>
                <w:highlight w:val="none"/>
                <w:lang w:eastAsia="ja-JP"/>
              </w:rPr>
            </w:pPr>
          </w:p>
        </w:tc>
        <w:tc>
          <w:tcPr>
            <w:tcW w:w="566" w:type="dxa"/>
            <w:tcBorders>
              <w:bottom w:val="single" w:color="auto" w:sz="4" w:space="0"/>
            </w:tcBorders>
            <w:vAlign w:val="center"/>
          </w:tcPr>
          <w:p>
            <w:pPr>
              <w:shd w:val="clear" w:color="auto"/>
              <w:rPr>
                <w:rFonts w:hint="default" w:eastAsia="宋体"/>
                <w:highlight w:val="none"/>
                <w:lang w:val="en-US" w:eastAsia="zh-CN"/>
              </w:rPr>
            </w:pPr>
            <w:r>
              <w:rPr>
                <w:rFonts w:hint="eastAsia"/>
                <w:highlight w:val="none"/>
                <w:lang w:val="en-US" w:eastAsia="zh-CN"/>
              </w:rPr>
              <w:t>03</w:t>
            </w:r>
          </w:p>
        </w:tc>
        <w:tc>
          <w:tcPr>
            <w:tcW w:w="627" w:type="dxa"/>
            <w:tcBorders>
              <w:bottom w:val="single" w:color="auto" w:sz="4" w:space="0"/>
            </w:tcBorders>
            <w:vAlign w:val="center"/>
          </w:tcPr>
          <w:p>
            <w:pPr>
              <w:shd w:val="clear" w:color="auto"/>
              <w:rPr>
                <w:highlight w:val="none"/>
                <w:lang w:eastAsia="ja-JP"/>
              </w:rPr>
            </w:pPr>
          </w:p>
        </w:tc>
        <w:tc>
          <w:tcPr>
            <w:tcW w:w="626" w:type="dxa"/>
            <w:tcBorders>
              <w:bottom w:val="single" w:color="auto" w:sz="4" w:space="0"/>
            </w:tcBorders>
            <w:vAlign w:val="center"/>
          </w:tcPr>
          <w:p>
            <w:pPr>
              <w:shd w:val="clear" w:color="auto"/>
              <w:rPr>
                <w:rFonts w:hint="default" w:eastAsia="宋体"/>
                <w:highlight w:val="none"/>
                <w:lang w:val="en-US" w:eastAsia="zh-CN"/>
              </w:rPr>
            </w:pPr>
            <w:r>
              <w:rPr>
                <w:rFonts w:hint="eastAsia"/>
                <w:highlight w:val="none"/>
                <w:lang w:val="en-US" w:eastAsia="zh-CN"/>
              </w:rPr>
              <w:t>02</w:t>
            </w:r>
          </w:p>
        </w:tc>
        <w:tc>
          <w:tcPr>
            <w:tcW w:w="627" w:type="dxa"/>
            <w:tcBorders>
              <w:bottom w:val="single" w:color="auto" w:sz="4" w:space="0"/>
            </w:tcBorders>
            <w:vAlign w:val="center"/>
          </w:tcPr>
          <w:p>
            <w:pPr>
              <w:shd w:val="clear" w:color="auto"/>
              <w:rPr>
                <w:highlight w:val="none"/>
                <w:lang w:eastAsia="ja-JP"/>
              </w:rPr>
            </w:pPr>
          </w:p>
        </w:tc>
        <w:tc>
          <w:tcPr>
            <w:tcW w:w="627" w:type="dxa"/>
            <w:tcBorders>
              <w:bottom w:val="single" w:color="auto" w:sz="4" w:space="0"/>
            </w:tcBorders>
            <w:vAlign w:val="center"/>
          </w:tcPr>
          <w:p>
            <w:pPr>
              <w:shd w:val="clear" w:color="auto"/>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lang w:val="en-GB"/>
              </w:rPr>
              <w:t>标准条款</w:t>
            </w:r>
          </w:p>
        </w:tc>
        <w:tc>
          <w:tcPr>
            <w:tcW w:w="586" w:type="dxa"/>
            <w:vAlign w:val="center"/>
          </w:tcPr>
          <w:p>
            <w:pPr>
              <w:shd w:val="clear" w:color="auto"/>
              <w:rPr>
                <w:highlight w:val="none"/>
                <w:lang w:eastAsia="ja-JP"/>
              </w:rPr>
            </w:pPr>
            <w:r>
              <w:rPr>
                <w:rFonts w:hint="eastAsia"/>
                <w:highlight w:val="none"/>
              </w:rPr>
              <w:t>9.1</w:t>
            </w:r>
          </w:p>
        </w:tc>
        <w:tc>
          <w:tcPr>
            <w:tcW w:w="607" w:type="dxa"/>
            <w:vAlign w:val="center"/>
          </w:tcPr>
          <w:p>
            <w:pPr>
              <w:shd w:val="clear" w:color="auto"/>
              <w:rPr>
                <w:highlight w:val="none"/>
                <w:lang w:eastAsia="ja-JP"/>
              </w:rPr>
            </w:pPr>
            <w:r>
              <w:rPr>
                <w:rFonts w:hint="eastAsia"/>
                <w:highlight w:val="none"/>
              </w:rPr>
              <w:t>9.2</w:t>
            </w:r>
          </w:p>
        </w:tc>
        <w:tc>
          <w:tcPr>
            <w:tcW w:w="593" w:type="dxa"/>
            <w:vAlign w:val="center"/>
          </w:tcPr>
          <w:p>
            <w:pPr>
              <w:shd w:val="clear" w:color="auto"/>
              <w:rPr>
                <w:highlight w:val="none"/>
                <w:lang w:eastAsia="ja-JP"/>
              </w:rPr>
            </w:pPr>
            <w:r>
              <w:rPr>
                <w:rFonts w:hint="eastAsia"/>
                <w:highlight w:val="none"/>
              </w:rPr>
              <w:t>9.3</w:t>
            </w:r>
          </w:p>
        </w:tc>
        <w:tc>
          <w:tcPr>
            <w:tcW w:w="622" w:type="dxa"/>
            <w:vAlign w:val="center"/>
          </w:tcPr>
          <w:p>
            <w:pPr>
              <w:shd w:val="clear" w:color="auto"/>
              <w:rPr>
                <w:highlight w:val="none"/>
                <w:lang w:eastAsia="ja-JP"/>
              </w:rPr>
            </w:pPr>
            <w:r>
              <w:rPr>
                <w:rFonts w:hint="eastAsia"/>
                <w:highlight w:val="none"/>
              </w:rPr>
              <w:t>10.1</w:t>
            </w:r>
          </w:p>
        </w:tc>
        <w:tc>
          <w:tcPr>
            <w:tcW w:w="614" w:type="dxa"/>
            <w:vAlign w:val="center"/>
          </w:tcPr>
          <w:p>
            <w:pPr>
              <w:shd w:val="clear" w:color="auto"/>
              <w:rPr>
                <w:highlight w:val="none"/>
                <w:lang w:eastAsia="ja-JP"/>
              </w:rPr>
            </w:pPr>
            <w:r>
              <w:rPr>
                <w:rFonts w:hint="eastAsia"/>
                <w:highlight w:val="none"/>
              </w:rPr>
              <w:t>10.2</w:t>
            </w:r>
          </w:p>
        </w:tc>
        <w:tc>
          <w:tcPr>
            <w:tcW w:w="601" w:type="dxa"/>
            <w:vAlign w:val="center"/>
          </w:tcPr>
          <w:p>
            <w:pPr>
              <w:shd w:val="clear" w:color="auto"/>
              <w:rPr>
                <w:highlight w:val="none"/>
                <w:lang w:eastAsia="ja-JP"/>
              </w:rPr>
            </w:pPr>
            <w:r>
              <w:rPr>
                <w:rFonts w:hint="eastAsia"/>
                <w:highlight w:val="none"/>
              </w:rPr>
              <w:t>10.3</w:t>
            </w:r>
          </w:p>
        </w:tc>
        <w:tc>
          <w:tcPr>
            <w:tcW w:w="614" w:type="dxa"/>
            <w:shd w:val="pct25" w:color="auto" w:fill="auto"/>
            <w:vAlign w:val="center"/>
          </w:tcPr>
          <w:p>
            <w:pPr>
              <w:shd w:val="clear" w:color="auto"/>
              <w:rPr>
                <w:highlight w:val="none"/>
                <w:lang w:eastAsia="ja-JP"/>
              </w:rPr>
            </w:pPr>
          </w:p>
        </w:tc>
        <w:tc>
          <w:tcPr>
            <w:tcW w:w="663" w:type="dxa"/>
            <w:shd w:val="pct25" w:color="auto" w:fill="auto"/>
            <w:vAlign w:val="center"/>
          </w:tcPr>
          <w:p>
            <w:pPr>
              <w:shd w:val="clear" w:color="auto"/>
              <w:rPr>
                <w:highlight w:val="none"/>
                <w:lang w:eastAsia="ja-JP"/>
              </w:rPr>
            </w:pPr>
          </w:p>
        </w:tc>
        <w:tc>
          <w:tcPr>
            <w:tcW w:w="578" w:type="dxa"/>
            <w:shd w:val="pct25" w:color="auto" w:fill="auto"/>
            <w:vAlign w:val="center"/>
          </w:tcPr>
          <w:p>
            <w:pPr>
              <w:shd w:val="clear" w:color="auto"/>
              <w:rPr>
                <w:highlight w:val="none"/>
                <w:lang w:eastAsia="ja-JP"/>
              </w:rPr>
            </w:pPr>
          </w:p>
        </w:tc>
        <w:tc>
          <w:tcPr>
            <w:tcW w:w="566"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c>
          <w:tcPr>
            <w:tcW w:w="626"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lang w:val="en-GB"/>
              </w:rPr>
              <w:t>评价*)</w:t>
            </w:r>
          </w:p>
        </w:tc>
        <w:tc>
          <w:tcPr>
            <w:tcW w:w="586" w:type="dxa"/>
            <w:vAlign w:val="center"/>
          </w:tcPr>
          <w:p>
            <w:pPr>
              <w:shd w:val="clear" w:color="auto"/>
              <w:rPr>
                <w:highlight w:val="none"/>
              </w:rPr>
            </w:pPr>
            <w:r>
              <w:rPr>
                <w:rFonts w:hint="eastAsia"/>
                <w:highlight w:val="none"/>
              </w:rPr>
              <w:t>1</w:t>
            </w:r>
          </w:p>
        </w:tc>
        <w:tc>
          <w:tcPr>
            <w:tcW w:w="607" w:type="dxa"/>
            <w:vAlign w:val="center"/>
          </w:tcPr>
          <w:p>
            <w:pPr>
              <w:shd w:val="clear" w:color="auto"/>
              <w:rPr>
                <w:highlight w:val="none"/>
              </w:rPr>
            </w:pPr>
            <w:r>
              <w:rPr>
                <w:rFonts w:hint="eastAsia"/>
                <w:highlight w:val="none"/>
              </w:rPr>
              <w:t>1</w:t>
            </w:r>
          </w:p>
        </w:tc>
        <w:tc>
          <w:tcPr>
            <w:tcW w:w="593" w:type="dxa"/>
            <w:vAlign w:val="center"/>
          </w:tcPr>
          <w:p>
            <w:pPr>
              <w:shd w:val="clear" w:color="auto"/>
              <w:rPr>
                <w:highlight w:val="none"/>
              </w:rPr>
            </w:pPr>
            <w:r>
              <w:rPr>
                <w:rFonts w:hint="eastAsia"/>
                <w:highlight w:val="none"/>
              </w:rPr>
              <w:t>1</w:t>
            </w:r>
          </w:p>
        </w:tc>
        <w:tc>
          <w:tcPr>
            <w:tcW w:w="622" w:type="dxa"/>
            <w:vAlign w:val="center"/>
          </w:tcPr>
          <w:p>
            <w:pPr>
              <w:shd w:val="clear" w:color="auto"/>
              <w:rPr>
                <w:highlight w:val="none"/>
              </w:rPr>
            </w:pPr>
            <w:r>
              <w:rPr>
                <w:rFonts w:hint="eastAsia"/>
                <w:highlight w:val="none"/>
              </w:rPr>
              <w:t>1</w:t>
            </w:r>
          </w:p>
        </w:tc>
        <w:tc>
          <w:tcPr>
            <w:tcW w:w="614" w:type="dxa"/>
            <w:vAlign w:val="center"/>
          </w:tcPr>
          <w:p>
            <w:pPr>
              <w:shd w:val="clear" w:color="auto"/>
              <w:rPr>
                <w:highlight w:val="none"/>
              </w:rPr>
            </w:pPr>
            <w:r>
              <w:rPr>
                <w:rFonts w:hint="eastAsia"/>
                <w:highlight w:val="none"/>
              </w:rPr>
              <w:t>1</w:t>
            </w:r>
          </w:p>
        </w:tc>
        <w:tc>
          <w:tcPr>
            <w:tcW w:w="601" w:type="dxa"/>
            <w:vAlign w:val="center"/>
          </w:tcPr>
          <w:p>
            <w:pPr>
              <w:shd w:val="clear" w:color="auto"/>
              <w:rPr>
                <w:highlight w:val="none"/>
              </w:rPr>
            </w:pPr>
            <w:r>
              <w:rPr>
                <w:rFonts w:hint="eastAsia"/>
                <w:highlight w:val="none"/>
              </w:rPr>
              <w:t>1</w:t>
            </w:r>
          </w:p>
        </w:tc>
        <w:tc>
          <w:tcPr>
            <w:tcW w:w="614" w:type="dxa"/>
            <w:shd w:val="pct25" w:color="auto" w:fill="auto"/>
            <w:vAlign w:val="center"/>
          </w:tcPr>
          <w:p>
            <w:pPr>
              <w:shd w:val="clear" w:color="auto"/>
              <w:rPr>
                <w:highlight w:val="none"/>
                <w:lang w:eastAsia="ja-JP"/>
              </w:rPr>
            </w:pPr>
          </w:p>
        </w:tc>
        <w:tc>
          <w:tcPr>
            <w:tcW w:w="663" w:type="dxa"/>
            <w:shd w:val="pct25" w:color="auto" w:fill="auto"/>
            <w:vAlign w:val="center"/>
          </w:tcPr>
          <w:p>
            <w:pPr>
              <w:shd w:val="clear" w:color="auto"/>
              <w:rPr>
                <w:highlight w:val="none"/>
                <w:lang w:eastAsia="ja-JP"/>
              </w:rPr>
            </w:pPr>
          </w:p>
        </w:tc>
        <w:tc>
          <w:tcPr>
            <w:tcW w:w="578" w:type="dxa"/>
            <w:shd w:val="pct25" w:color="auto" w:fill="auto"/>
            <w:vAlign w:val="center"/>
          </w:tcPr>
          <w:p>
            <w:pPr>
              <w:shd w:val="clear" w:color="auto"/>
              <w:rPr>
                <w:highlight w:val="none"/>
                <w:lang w:eastAsia="ja-JP"/>
              </w:rPr>
            </w:pPr>
          </w:p>
        </w:tc>
        <w:tc>
          <w:tcPr>
            <w:tcW w:w="566"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c>
          <w:tcPr>
            <w:tcW w:w="626"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rPr>
                <w:highlight w:val="none"/>
                <w:lang w:eastAsia="ja-JP"/>
              </w:rPr>
            </w:pPr>
            <w:r>
              <w:rPr>
                <w:rFonts w:hint="eastAsia"/>
                <w:highlight w:val="none"/>
              </w:rPr>
              <w:t>不符合数量</w:t>
            </w:r>
          </w:p>
        </w:tc>
        <w:tc>
          <w:tcPr>
            <w:tcW w:w="586" w:type="dxa"/>
            <w:vAlign w:val="center"/>
          </w:tcPr>
          <w:p>
            <w:pPr>
              <w:shd w:val="clear" w:color="auto"/>
              <w:rPr>
                <w:highlight w:val="none"/>
                <w:lang w:eastAsia="ja-JP"/>
              </w:rPr>
            </w:pPr>
          </w:p>
        </w:tc>
        <w:tc>
          <w:tcPr>
            <w:tcW w:w="607" w:type="dxa"/>
            <w:vAlign w:val="center"/>
          </w:tcPr>
          <w:p>
            <w:pPr>
              <w:shd w:val="clear" w:color="auto"/>
              <w:rPr>
                <w:highlight w:val="none"/>
                <w:lang w:eastAsia="ja-JP"/>
              </w:rPr>
            </w:pPr>
          </w:p>
        </w:tc>
        <w:tc>
          <w:tcPr>
            <w:tcW w:w="593" w:type="dxa"/>
            <w:vAlign w:val="center"/>
          </w:tcPr>
          <w:p>
            <w:pPr>
              <w:shd w:val="clear" w:color="auto"/>
              <w:rPr>
                <w:highlight w:val="none"/>
                <w:lang w:eastAsia="ja-JP"/>
              </w:rPr>
            </w:pPr>
          </w:p>
        </w:tc>
        <w:tc>
          <w:tcPr>
            <w:tcW w:w="622" w:type="dxa"/>
            <w:vAlign w:val="center"/>
          </w:tcPr>
          <w:p>
            <w:pPr>
              <w:shd w:val="clear" w:color="auto"/>
              <w:rPr>
                <w:highlight w:val="none"/>
                <w:lang w:eastAsia="ja-JP"/>
              </w:rPr>
            </w:pPr>
          </w:p>
        </w:tc>
        <w:tc>
          <w:tcPr>
            <w:tcW w:w="614" w:type="dxa"/>
            <w:vAlign w:val="center"/>
          </w:tcPr>
          <w:p>
            <w:pPr>
              <w:shd w:val="clear" w:color="auto"/>
              <w:rPr>
                <w:highlight w:val="none"/>
                <w:lang w:eastAsia="ja-JP"/>
              </w:rPr>
            </w:pPr>
          </w:p>
        </w:tc>
        <w:tc>
          <w:tcPr>
            <w:tcW w:w="601" w:type="dxa"/>
            <w:vAlign w:val="center"/>
          </w:tcPr>
          <w:p>
            <w:pPr>
              <w:shd w:val="clear" w:color="auto"/>
              <w:rPr>
                <w:highlight w:val="none"/>
                <w:lang w:eastAsia="ja-JP"/>
              </w:rPr>
            </w:pPr>
          </w:p>
        </w:tc>
        <w:tc>
          <w:tcPr>
            <w:tcW w:w="614" w:type="dxa"/>
            <w:shd w:val="pct25" w:color="auto" w:fill="auto"/>
            <w:vAlign w:val="center"/>
          </w:tcPr>
          <w:p>
            <w:pPr>
              <w:shd w:val="clear" w:color="auto"/>
              <w:rPr>
                <w:highlight w:val="none"/>
                <w:lang w:eastAsia="ja-JP"/>
              </w:rPr>
            </w:pPr>
          </w:p>
        </w:tc>
        <w:tc>
          <w:tcPr>
            <w:tcW w:w="663" w:type="dxa"/>
            <w:shd w:val="pct25" w:color="auto" w:fill="auto"/>
            <w:vAlign w:val="center"/>
          </w:tcPr>
          <w:p>
            <w:pPr>
              <w:shd w:val="clear" w:color="auto"/>
              <w:rPr>
                <w:highlight w:val="none"/>
                <w:lang w:eastAsia="ja-JP"/>
              </w:rPr>
            </w:pPr>
          </w:p>
        </w:tc>
        <w:tc>
          <w:tcPr>
            <w:tcW w:w="578" w:type="dxa"/>
            <w:shd w:val="pct25" w:color="auto" w:fill="auto"/>
            <w:vAlign w:val="center"/>
          </w:tcPr>
          <w:p>
            <w:pPr>
              <w:shd w:val="clear" w:color="auto"/>
              <w:rPr>
                <w:highlight w:val="none"/>
                <w:lang w:eastAsia="ja-JP"/>
              </w:rPr>
            </w:pPr>
          </w:p>
        </w:tc>
        <w:tc>
          <w:tcPr>
            <w:tcW w:w="566"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c>
          <w:tcPr>
            <w:tcW w:w="626"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c>
          <w:tcPr>
            <w:tcW w:w="627" w:type="dxa"/>
            <w:shd w:val="pct25" w:color="auto" w:fill="auto"/>
            <w:vAlign w:val="center"/>
          </w:tcPr>
          <w:p>
            <w:pPr>
              <w:shd w:val="clear" w:color="auto"/>
              <w:rPr>
                <w:highlight w:val="none"/>
                <w:lang w:eastAsia="ja-JP"/>
              </w:rPr>
            </w:pPr>
          </w:p>
        </w:tc>
      </w:tr>
    </w:tbl>
    <w:p>
      <w:pPr>
        <w:shd w:val="clear" w:color="auto"/>
      </w:pPr>
    </w:p>
    <w:p>
      <w:pPr>
        <w:shd w:val="clear" w:color="auto"/>
      </w:pPr>
    </w:p>
    <w:p>
      <w:pPr>
        <w:shd w:val="clear" w:color="auto"/>
      </w:pPr>
      <w:r>
        <w:t xml:space="preserve">*评价: </w:t>
      </w:r>
      <w:r>
        <w:tab/>
      </w:r>
      <w:r>
        <w:t>1 =符合</w:t>
      </w:r>
    </w:p>
    <w:p>
      <w:pPr>
        <w:shd w:val="clear" w:color="auto"/>
      </w:pPr>
      <w:r>
        <w:tab/>
      </w:r>
      <w:r>
        <w:tab/>
      </w:r>
      <w:r>
        <w:t>2 =这次审核没审</w:t>
      </w:r>
    </w:p>
    <w:p>
      <w:pPr>
        <w:shd w:val="clear" w:color="auto"/>
      </w:pPr>
      <w:r>
        <w:tab/>
      </w:r>
      <w:r>
        <w:tab/>
      </w:r>
      <w:r>
        <w:t xml:space="preserve">3 =失效/不符合(参见不符合报告)  </w:t>
      </w:r>
    </w:p>
    <w:p>
      <w:pPr>
        <w:shd w:val="clear" w:color="auto"/>
      </w:pPr>
      <w:r>
        <w:tab/>
      </w:r>
      <w:r>
        <w:tab/>
      </w:r>
      <w:r>
        <w:t>4 =不适用</w:t>
      </w:r>
    </w:p>
    <w:p>
      <w:pPr>
        <w:shd w:val="clear" w:color="auto"/>
      </w:pPr>
    </w:p>
    <w:p>
      <w:pPr>
        <w:shd w:val="clear" w:color="auto"/>
      </w:pPr>
    </w:p>
    <w:p>
      <w:pPr>
        <w:pStyle w:val="13"/>
        <w:shd w:val="clear"/>
      </w:pPr>
    </w:p>
    <w:p>
      <w:pPr>
        <w:shd w:val="clea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黑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95pt;margin-top:7.85pt;height:20.2pt;width:100.35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649BB"/>
    <w:multiLevelType w:val="singleLevel"/>
    <w:tmpl w:val="843649BB"/>
    <w:lvl w:ilvl="0" w:tentative="0">
      <w:start w:val="1"/>
      <w:numFmt w:val="decimal"/>
      <w:suff w:val="space"/>
      <w:lvlText w:val="%1."/>
      <w:lvlJc w:val="left"/>
    </w:lvl>
  </w:abstractNum>
  <w:abstractNum w:abstractNumId="1">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2">
    <w:nsid w:val="9E3D9FC4"/>
    <w:multiLevelType w:val="singleLevel"/>
    <w:tmpl w:val="9E3D9FC4"/>
    <w:lvl w:ilvl="0" w:tentative="0">
      <w:start w:val="1"/>
      <w:numFmt w:val="chineseCounting"/>
      <w:suff w:val="nothing"/>
      <w:lvlText w:val="%1、"/>
      <w:lvlJc w:val="left"/>
      <w:rPr>
        <w:rFonts w:hint="eastAsia"/>
      </w:rPr>
    </w:lvl>
  </w:abstractNum>
  <w:abstractNum w:abstractNumId="3">
    <w:nsid w:val="E8EFEAF6"/>
    <w:multiLevelType w:val="singleLevel"/>
    <w:tmpl w:val="E8EFEAF6"/>
    <w:lvl w:ilvl="0" w:tentative="0">
      <w:start w:val="7"/>
      <w:numFmt w:val="chineseCounting"/>
      <w:suff w:val="nothing"/>
      <w:lvlText w:val="%1、"/>
      <w:lvlJc w:val="left"/>
      <w:rPr>
        <w:rFonts w:hint="eastAsia"/>
      </w:rPr>
    </w:lvl>
  </w:abstractNum>
  <w:abstractNum w:abstractNumId="4">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82DA7BA"/>
    <w:multiLevelType w:val="singleLevel"/>
    <w:tmpl w:val="182DA7BA"/>
    <w:lvl w:ilvl="0" w:tentative="0">
      <w:start w:val="1"/>
      <w:numFmt w:val="decimal"/>
      <w:suff w:val="space"/>
      <w:lvlText w:val="%1."/>
      <w:lvlJc w:val="left"/>
    </w:lvl>
  </w:abstractNum>
  <w:abstractNum w:abstractNumId="7">
    <w:nsid w:val="1F8A2015"/>
    <w:multiLevelType w:val="singleLevel"/>
    <w:tmpl w:val="1F8A2015"/>
    <w:lvl w:ilvl="0" w:tentative="0">
      <w:start w:val="1"/>
      <w:numFmt w:val="decimal"/>
      <w:suff w:val="space"/>
      <w:lvlText w:val="%1."/>
      <w:lvlJc w:val="left"/>
    </w:lvl>
  </w:abstractNum>
  <w:abstractNum w:abstractNumId="8">
    <w:nsid w:val="2E26E2FE"/>
    <w:multiLevelType w:val="singleLevel"/>
    <w:tmpl w:val="2E26E2FE"/>
    <w:lvl w:ilvl="0" w:tentative="0">
      <w:start w:val="1"/>
      <w:numFmt w:val="decimal"/>
      <w:suff w:val="space"/>
      <w:lvlText w:val="%1."/>
      <w:lvlJc w:val="left"/>
    </w:lvl>
  </w:abstractNum>
  <w:abstractNum w:abstractNumId="9">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0">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0"/>
  </w:num>
  <w:num w:numId="4">
    <w:abstractNumId w:val="6"/>
  </w:num>
  <w:num w:numId="5">
    <w:abstractNumId w:val="7"/>
  </w:num>
  <w:num w:numId="6">
    <w:abstractNumId w:val="4"/>
  </w:num>
  <w:num w:numId="7">
    <w:abstractNumId w:val="1"/>
  </w:num>
  <w:num w:numId="8">
    <w:abstractNumId w:val="10"/>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F0A7CDC"/>
    <w:rsid w:val="3FCF1E9E"/>
    <w:rsid w:val="413F36B2"/>
    <w:rsid w:val="59885C2F"/>
    <w:rsid w:val="5E5E74EA"/>
    <w:rsid w:val="6E3633E8"/>
    <w:rsid w:val="74CB0911"/>
    <w:rsid w:val="7D861C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 w:val="left" w:pos="1560"/>
        <w:tab w:val="left" w:pos="1985"/>
      </w:tabs>
      <w:ind w:firstLine="420" w:firstLineChars="200"/>
    </w:p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字符"/>
    <w:basedOn w:val="11"/>
    <w:link w:val="6"/>
    <w:qFormat/>
    <w:uiPriority w:val="99"/>
    <w:rPr>
      <w:rFonts w:ascii="Times New Roman" w:hAnsi="Times New Roman" w:eastAsia="宋体" w:cs="Times New Roman"/>
      <w:sz w:val="18"/>
      <w:szCs w:val="18"/>
    </w:rPr>
  </w:style>
  <w:style w:type="character" w:customStyle="1" w:styleId="16">
    <w:name w:val="页脚 字符"/>
    <w:basedOn w:val="11"/>
    <w:link w:val="5"/>
    <w:qFormat/>
    <w:uiPriority w:val="99"/>
    <w:rPr>
      <w:rFonts w:ascii="Times New Roman" w:hAnsi="Times New Roman" w:eastAsia="宋体" w:cs="Times New Roman"/>
      <w:sz w:val="18"/>
      <w:szCs w:val="18"/>
    </w:rPr>
  </w:style>
  <w:style w:type="character" w:customStyle="1" w:styleId="17">
    <w:name w:val="批注框文本 字符"/>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18563</Words>
  <Characters>19881</Characters>
  <Lines>340</Lines>
  <Paragraphs>95</Paragraphs>
  <TotalTime>2</TotalTime>
  <ScaleCrop>false</ScaleCrop>
  <LinksUpToDate>false</LinksUpToDate>
  <CharactersWithSpaces>23187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2021-10-09T16:37:27Z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