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天津市唐盛金属制品有限公司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锌线材放料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粗拔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中拔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细拔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制丝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成品打包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生产任务未按时完成，设备故障，工人操作不当，控制措施：生产和服务控制程序、设备操作规程、作业指导书；特殊过程为挤出，是否从人员、设备、工艺等方面进行了确认。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安全生产法、GB T470-2008《锌锭》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耐热性、不透水性、拉力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GB T470-2008《锌锭》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2020.10.25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2020.10.25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BBA63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2020-11-06T09:13:33Z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