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center"/>
        <w:rPr>
          <w:color w:val="000000"/>
        </w:rPr>
      </w:pPr>
      <w:r>
        <w:rPr>
          <w:rFonts w:hint="eastAsia" w:ascii="楷体" w:hAnsi="楷体" w:eastAsia="楷体"/>
          <w:color w:val="000000"/>
          <w:sz w:val="28"/>
          <w:szCs w:val="28"/>
          <w:lang w:val="en-US" w:eastAsia="zh-CN"/>
        </w:rPr>
        <w:t xml:space="preserve">                                  </w:t>
      </w:r>
      <w:r>
        <w:rPr>
          <w:rFonts w:hint="eastAsia" w:ascii="楷体" w:hAnsi="楷体" w:eastAsia="楷体"/>
          <w:color w:val="000000"/>
          <w:sz w:val="28"/>
          <w:szCs w:val="28"/>
        </w:rPr>
        <w:t>合同编号：</w:t>
      </w:r>
      <w:r>
        <w:rPr>
          <w:rFonts w:hint="eastAsia" w:eastAsia="楷体"/>
          <w:sz w:val="21"/>
          <w:szCs w:val="21"/>
          <w:lang w:eastAsia="zh-CN"/>
        </w:rPr>
        <w:t>0</w:t>
      </w:r>
      <w:r>
        <w:rPr>
          <w:rFonts w:hint="eastAsia" w:eastAsia="楷体"/>
          <w:sz w:val="21"/>
          <w:szCs w:val="21"/>
          <w:lang w:val="en-US" w:eastAsia="zh-CN"/>
        </w:rPr>
        <w:t>496</w:t>
      </w:r>
      <w:r>
        <w:rPr>
          <w:rFonts w:hint="eastAsia"/>
          <w:sz w:val="21"/>
          <w:szCs w:val="21"/>
        </w:rPr>
        <w:t>-2019-QEO</w:t>
      </w:r>
    </w:p>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泊头市新天环保设备有限公司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978"/>
        <w:gridCol w:w="1553"/>
        <w:gridCol w:w="2670"/>
        <w:gridCol w:w="327"/>
        <w:gridCol w:w="850"/>
        <w:gridCol w:w="30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978" w:type="dxa"/>
            <w:vAlign w:val="center"/>
          </w:tcPr>
          <w:p>
            <w:pPr>
              <w:jc w:val="center"/>
              <w:rPr>
                <w:b/>
                <w:sz w:val="21"/>
                <w:szCs w:val="21"/>
              </w:rPr>
            </w:pPr>
            <w:r>
              <w:rPr>
                <w:rFonts w:hint="eastAsia"/>
                <w:b/>
                <w:sz w:val="21"/>
                <w:szCs w:val="21"/>
              </w:rPr>
              <w:t>职务</w:t>
            </w:r>
          </w:p>
        </w:tc>
        <w:tc>
          <w:tcPr>
            <w:tcW w:w="1553" w:type="dxa"/>
            <w:vAlign w:val="center"/>
          </w:tcPr>
          <w:p>
            <w:pPr>
              <w:jc w:val="center"/>
              <w:rPr>
                <w:b/>
                <w:sz w:val="21"/>
                <w:szCs w:val="21"/>
              </w:rPr>
            </w:pPr>
            <w:r>
              <w:rPr>
                <w:rFonts w:hint="eastAsia"/>
                <w:b/>
                <w:sz w:val="21"/>
                <w:szCs w:val="21"/>
              </w:rPr>
              <w:t>注册级别</w:t>
            </w:r>
          </w:p>
        </w:tc>
        <w:tc>
          <w:tcPr>
            <w:tcW w:w="2670" w:type="dxa"/>
            <w:vAlign w:val="center"/>
          </w:tcPr>
          <w:p>
            <w:pPr>
              <w:jc w:val="center"/>
              <w:rPr>
                <w:b/>
                <w:sz w:val="21"/>
                <w:szCs w:val="21"/>
              </w:rPr>
            </w:pPr>
            <w:r>
              <w:rPr>
                <w:rFonts w:hint="eastAsia"/>
                <w:b/>
                <w:sz w:val="21"/>
                <w:szCs w:val="21"/>
              </w:rPr>
              <w:t>审核员注册号</w:t>
            </w:r>
          </w:p>
        </w:tc>
        <w:tc>
          <w:tcPr>
            <w:tcW w:w="1483" w:type="dxa"/>
            <w:gridSpan w:val="3"/>
            <w:vAlign w:val="center"/>
          </w:tcPr>
          <w:p>
            <w:pPr>
              <w:jc w:val="center"/>
              <w:rPr>
                <w:b/>
                <w:sz w:val="21"/>
                <w:szCs w:val="21"/>
              </w:rPr>
            </w:pPr>
            <w:r>
              <w:rPr>
                <w:rFonts w:hint="eastAsia"/>
                <w:b/>
                <w:sz w:val="21"/>
                <w:szCs w:val="21"/>
              </w:rPr>
              <w:t>专业代码</w:t>
            </w:r>
          </w:p>
        </w:tc>
        <w:tc>
          <w:tcPr>
            <w:tcW w:w="1308"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周涛</w:t>
            </w:r>
          </w:p>
        </w:tc>
        <w:tc>
          <w:tcPr>
            <w:tcW w:w="824" w:type="dxa"/>
            <w:gridSpan w:val="2"/>
            <w:vAlign w:val="center"/>
          </w:tcPr>
          <w:p>
            <w:pPr>
              <w:jc w:val="center"/>
              <w:rPr>
                <w:b/>
                <w:sz w:val="21"/>
                <w:szCs w:val="21"/>
              </w:rPr>
            </w:pPr>
            <w:r>
              <w:rPr>
                <w:b/>
                <w:sz w:val="21"/>
                <w:szCs w:val="21"/>
              </w:rPr>
              <w:t>男</w:t>
            </w:r>
          </w:p>
        </w:tc>
        <w:tc>
          <w:tcPr>
            <w:tcW w:w="978" w:type="dxa"/>
            <w:vAlign w:val="center"/>
          </w:tcPr>
          <w:p>
            <w:pPr>
              <w:jc w:val="center"/>
              <w:rPr>
                <w:b/>
                <w:sz w:val="21"/>
                <w:szCs w:val="21"/>
              </w:rPr>
            </w:pPr>
            <w:r>
              <w:rPr>
                <w:b/>
                <w:sz w:val="21"/>
                <w:szCs w:val="21"/>
              </w:rPr>
              <w:t>组长</w:t>
            </w:r>
          </w:p>
        </w:tc>
        <w:tc>
          <w:tcPr>
            <w:tcW w:w="1553"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670" w:type="dxa"/>
            <w:vAlign w:val="center"/>
          </w:tcPr>
          <w:p>
            <w:pPr>
              <w:jc w:val="center"/>
              <w:rPr>
                <w:b/>
                <w:sz w:val="21"/>
                <w:szCs w:val="21"/>
              </w:rPr>
            </w:pPr>
            <w:r>
              <w:rPr>
                <w:b/>
                <w:sz w:val="21"/>
                <w:szCs w:val="21"/>
              </w:rPr>
              <w:t>2019-N1QMS-3072033</w:t>
            </w:r>
          </w:p>
          <w:p>
            <w:pPr>
              <w:jc w:val="center"/>
              <w:rPr>
                <w:b/>
                <w:sz w:val="21"/>
                <w:szCs w:val="21"/>
              </w:rPr>
            </w:pPr>
            <w:r>
              <w:rPr>
                <w:b/>
                <w:sz w:val="21"/>
                <w:szCs w:val="21"/>
              </w:rPr>
              <w:t>2018-N1EMS-2072033</w:t>
            </w:r>
          </w:p>
          <w:p>
            <w:pPr>
              <w:jc w:val="center"/>
              <w:rPr>
                <w:b/>
                <w:sz w:val="21"/>
                <w:szCs w:val="21"/>
              </w:rPr>
            </w:pPr>
            <w:r>
              <w:rPr>
                <w:b/>
                <w:sz w:val="21"/>
                <w:szCs w:val="21"/>
              </w:rPr>
              <w:t>2018-N1OHSMS-2072033</w:t>
            </w:r>
          </w:p>
        </w:tc>
        <w:tc>
          <w:tcPr>
            <w:tcW w:w="1483" w:type="dxa"/>
            <w:gridSpan w:val="3"/>
            <w:vAlign w:val="center"/>
          </w:tcPr>
          <w:p>
            <w:pPr>
              <w:jc w:val="center"/>
              <w:rPr>
                <w:b/>
                <w:sz w:val="21"/>
                <w:szCs w:val="21"/>
              </w:rPr>
            </w:pPr>
            <w:r>
              <w:rPr>
                <w:b/>
                <w:sz w:val="21"/>
                <w:szCs w:val="21"/>
              </w:rPr>
              <w:t>Q:29.10.07</w:t>
            </w:r>
          </w:p>
          <w:p>
            <w:pPr>
              <w:jc w:val="center"/>
              <w:rPr>
                <w:b/>
                <w:sz w:val="21"/>
                <w:szCs w:val="21"/>
              </w:rPr>
            </w:pPr>
            <w:r>
              <w:rPr>
                <w:b/>
                <w:sz w:val="21"/>
                <w:szCs w:val="21"/>
              </w:rPr>
              <w:t>E:29.10.07</w:t>
            </w:r>
          </w:p>
          <w:p>
            <w:pPr>
              <w:jc w:val="center"/>
              <w:rPr>
                <w:b/>
                <w:sz w:val="21"/>
                <w:szCs w:val="21"/>
              </w:rPr>
            </w:pPr>
            <w:r>
              <w:rPr>
                <w:b/>
                <w:sz w:val="21"/>
                <w:szCs w:val="21"/>
              </w:rPr>
              <w:t>O:29.10.07</w:t>
            </w:r>
          </w:p>
        </w:tc>
        <w:tc>
          <w:tcPr>
            <w:tcW w:w="1308" w:type="dxa"/>
            <w:vAlign w:val="center"/>
          </w:tcPr>
          <w:p>
            <w:pPr>
              <w:jc w:val="center"/>
              <w:rPr>
                <w:b/>
                <w:sz w:val="21"/>
                <w:szCs w:val="21"/>
              </w:rPr>
            </w:pPr>
            <w:r>
              <w:rPr>
                <w:b/>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978" w:type="dxa"/>
            <w:vAlign w:val="center"/>
          </w:tcPr>
          <w:p>
            <w:pPr>
              <w:jc w:val="center"/>
              <w:rPr>
                <w:b/>
                <w:sz w:val="21"/>
                <w:szCs w:val="21"/>
              </w:rPr>
            </w:pPr>
            <w:r>
              <w:rPr>
                <w:rFonts w:hint="eastAsia"/>
                <w:b/>
                <w:sz w:val="21"/>
                <w:szCs w:val="21"/>
              </w:rPr>
              <w:t>角色</w:t>
            </w:r>
          </w:p>
        </w:tc>
        <w:tc>
          <w:tcPr>
            <w:tcW w:w="7014"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978" w:type="dxa"/>
            <w:vAlign w:val="center"/>
          </w:tcPr>
          <w:p>
            <w:pPr>
              <w:jc w:val="center"/>
              <w:rPr>
                <w:b/>
                <w:sz w:val="21"/>
                <w:szCs w:val="21"/>
              </w:rPr>
            </w:pPr>
          </w:p>
        </w:tc>
        <w:tc>
          <w:tcPr>
            <w:tcW w:w="7014"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51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泊头市新天环保设备有限公司</w:t>
            </w:r>
            <w:bookmarkEnd w:id="9"/>
          </w:p>
        </w:tc>
        <w:tc>
          <w:tcPr>
            <w:tcW w:w="1511"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661" w:type="dxa"/>
          </w:tcPr>
          <w:p>
            <w:pPr>
              <w:spacing w:line="260" w:lineRule="exact"/>
              <w:rPr>
                <w:rFonts w:hint="default" w:ascii="宋体" w:eastAsia="宋体"/>
                <w:b/>
                <w:sz w:val="21"/>
                <w:lang w:val="en-US" w:eastAsia="zh-CN"/>
              </w:rPr>
            </w:pPr>
            <w:r>
              <w:rPr>
                <w:rFonts w:hint="eastAsia" w:ascii="宋体"/>
                <w:b/>
                <w:sz w:val="21"/>
                <w:lang w:val="en-US" w:eastAsia="zh-CN"/>
              </w:rPr>
              <w:t xml:space="preserve">    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泊头市冯三番</w:t>
            </w:r>
            <w:bookmarkEnd w:id="10"/>
          </w:p>
        </w:tc>
        <w:tc>
          <w:tcPr>
            <w:tcW w:w="1511" w:type="dxa"/>
            <w:vMerge w:val="restart"/>
            <w:vAlign w:val="center"/>
          </w:tcPr>
          <w:p>
            <w:pPr>
              <w:jc w:val="center"/>
              <w:rPr>
                <w:rFonts w:ascii="宋体"/>
                <w:b/>
                <w:sz w:val="21"/>
              </w:rPr>
            </w:pPr>
            <w:r>
              <w:rPr>
                <w:rFonts w:hint="eastAsia" w:ascii="宋体" w:hAnsi="宋体"/>
                <w:b/>
                <w:sz w:val="21"/>
              </w:rPr>
              <w:t>邮编</w:t>
            </w:r>
          </w:p>
        </w:tc>
        <w:tc>
          <w:tcPr>
            <w:tcW w:w="1661" w:type="dxa"/>
          </w:tcPr>
          <w:p>
            <w:pPr>
              <w:rPr>
                <w:rFonts w:ascii="宋体"/>
                <w:b/>
                <w:sz w:val="21"/>
              </w:rPr>
            </w:pPr>
            <w:bookmarkStart w:id="11" w:name="注册邮编"/>
            <w:r>
              <w:rPr>
                <w:rFonts w:ascii="宋体"/>
                <w:b/>
                <w:sz w:val="21"/>
              </w:rPr>
              <w:t>062150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泊头市冯三番</w:t>
            </w:r>
            <w:bookmarkEnd w:id="12"/>
          </w:p>
        </w:tc>
        <w:tc>
          <w:tcPr>
            <w:tcW w:w="1511" w:type="dxa"/>
            <w:vMerge w:val="continue"/>
            <w:vAlign w:val="center"/>
          </w:tcPr>
          <w:p>
            <w:pPr>
              <w:jc w:val="center"/>
              <w:rPr>
                <w:rFonts w:ascii="宋体"/>
                <w:b/>
                <w:sz w:val="21"/>
              </w:rPr>
            </w:pPr>
          </w:p>
        </w:tc>
        <w:tc>
          <w:tcPr>
            <w:tcW w:w="1661" w:type="dxa"/>
          </w:tcPr>
          <w:p>
            <w:pPr>
              <w:rPr>
                <w:rFonts w:ascii="宋体"/>
                <w:b/>
                <w:sz w:val="21"/>
              </w:rPr>
            </w:pPr>
            <w:bookmarkStart w:id="13" w:name="办公邮编"/>
            <w:r>
              <w:rPr>
                <w:rFonts w:ascii="宋体"/>
                <w:b/>
                <w:sz w:val="21"/>
              </w:rPr>
              <w:t>062150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河北省沧州市泊头市四营工业园区</w:t>
            </w:r>
            <w:bookmarkEnd w:id="14"/>
          </w:p>
        </w:tc>
        <w:tc>
          <w:tcPr>
            <w:tcW w:w="1511" w:type="dxa"/>
            <w:vMerge w:val="continue"/>
            <w:vAlign w:val="center"/>
          </w:tcPr>
          <w:p>
            <w:pPr>
              <w:jc w:val="center"/>
              <w:rPr>
                <w:rFonts w:ascii="宋体"/>
                <w:b/>
                <w:sz w:val="21"/>
              </w:rPr>
            </w:pPr>
          </w:p>
        </w:tc>
        <w:tc>
          <w:tcPr>
            <w:tcW w:w="1661" w:type="dxa"/>
          </w:tcPr>
          <w:p>
            <w:pPr>
              <w:rPr>
                <w:rFonts w:ascii="宋体"/>
                <w:b/>
                <w:sz w:val="21"/>
              </w:rPr>
            </w:pPr>
            <w:bookmarkStart w:id="15" w:name="生产邮编"/>
            <w:r>
              <w:rPr>
                <w:rFonts w:ascii="宋体"/>
                <w:b/>
                <w:sz w:val="21"/>
              </w:rPr>
              <w:t>062150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陈涛</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13785726449</w:t>
            </w:r>
            <w:bookmarkEnd w:id="17"/>
          </w:p>
        </w:tc>
        <w:tc>
          <w:tcPr>
            <w:tcW w:w="1511" w:type="dxa"/>
            <w:vAlign w:val="center"/>
          </w:tcPr>
          <w:p>
            <w:pPr>
              <w:jc w:val="center"/>
              <w:rPr>
                <w:rFonts w:ascii="宋体"/>
                <w:b/>
                <w:sz w:val="21"/>
              </w:rPr>
            </w:pPr>
            <w:r>
              <w:rPr>
                <w:rFonts w:hint="eastAsia" w:ascii="宋体" w:hAnsi="宋体"/>
                <w:b/>
                <w:sz w:val="21"/>
              </w:rPr>
              <w:t>传真</w:t>
            </w:r>
          </w:p>
        </w:tc>
        <w:tc>
          <w:tcPr>
            <w:tcW w:w="1661"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陈涛</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511" w:type="dxa"/>
            <w:vAlign w:val="center"/>
          </w:tcPr>
          <w:p>
            <w:pPr>
              <w:jc w:val="center"/>
              <w:rPr>
                <w:rFonts w:ascii="宋体" w:hAnsi="宋体"/>
                <w:b/>
                <w:sz w:val="21"/>
                <w:szCs w:val="21"/>
              </w:rPr>
            </w:pPr>
            <w:r>
              <w:rPr>
                <w:rFonts w:hint="eastAsia" w:ascii="宋体" w:hAnsi="宋体"/>
                <w:b/>
                <w:sz w:val="21"/>
                <w:szCs w:val="21"/>
              </w:rPr>
              <w:t>管理者代表</w:t>
            </w:r>
          </w:p>
        </w:tc>
        <w:tc>
          <w:tcPr>
            <w:tcW w:w="1661" w:type="dxa"/>
          </w:tcPr>
          <w:p>
            <w:pPr>
              <w:rPr>
                <w:rFonts w:ascii="宋体"/>
                <w:b/>
                <w:sz w:val="21"/>
              </w:rPr>
            </w:pPr>
            <w:bookmarkStart w:id="20" w:name="管理者代表"/>
            <w:r>
              <w:rPr>
                <w:rFonts w:ascii="宋体"/>
                <w:b/>
                <w:sz w:val="21"/>
              </w:rPr>
              <w:t>陈涛</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2020年10月25日 上午至2020年10月27日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r>
              <w:rPr>
                <w:sz w:val="20"/>
              </w:rPr>
              <w:t>环保设备及配件的销售</w:t>
            </w:r>
            <w:r>
              <w:rPr>
                <w:rFonts w:hint="eastAsia"/>
                <w:sz w:val="20"/>
                <w:lang w:eastAsia="zh-CN"/>
              </w:rPr>
              <w:t>；</w:t>
            </w:r>
          </w:p>
          <w:p>
            <w:pPr>
              <w:spacing w:line="360" w:lineRule="exact"/>
              <w:rPr>
                <w:rFonts w:hint="eastAsia" w:ascii="宋体" w:hAnsi="宋体" w:eastAsia="宋体"/>
                <w:b/>
                <w:sz w:val="21"/>
                <w:szCs w:val="21"/>
                <w:lang w:eastAsia="zh-CN"/>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环保设备及配件的销售及相关环境管理活动</w:t>
            </w:r>
            <w:r>
              <w:rPr>
                <w:rFonts w:hint="eastAsia"/>
                <w:sz w:val="20"/>
                <w:lang w:eastAsia="zh-CN"/>
              </w:rPr>
              <w:t>；</w:t>
            </w:r>
          </w:p>
          <w:p>
            <w:pPr>
              <w:spacing w:line="360" w:lineRule="exact"/>
              <w:rPr>
                <w:rFonts w:hint="eastAsia" w:ascii="宋体" w:hAnsi="宋体" w:eastAsia="宋体"/>
                <w:b/>
                <w:sz w:val="21"/>
                <w:szCs w:val="21"/>
                <w:lang w:eastAsia="zh-CN"/>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环保设备及配件的销售及相关职业健康安全管理活动</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Q：29.10.07</w:t>
            </w:r>
          </w:p>
          <w:p>
            <w:pPr>
              <w:spacing w:line="260" w:lineRule="exact"/>
              <w:rPr>
                <w:rFonts w:ascii="宋体" w:hAnsi="宋体"/>
                <w:b/>
                <w:sz w:val="21"/>
                <w:szCs w:val="21"/>
              </w:rPr>
            </w:pPr>
            <w:r>
              <w:rPr>
                <w:rFonts w:ascii="宋体" w:hAnsi="宋体"/>
                <w:b/>
                <w:sz w:val="21"/>
                <w:szCs w:val="21"/>
              </w:rPr>
              <w:t>E：29.10.07</w:t>
            </w:r>
          </w:p>
          <w:p>
            <w:pPr>
              <w:spacing w:line="260" w:lineRule="exact"/>
              <w:rPr>
                <w:rFonts w:ascii="宋体" w:hAnsi="宋体"/>
                <w:b/>
                <w:sz w:val="21"/>
                <w:szCs w:val="21"/>
              </w:rPr>
            </w:pPr>
            <w:r>
              <w:rPr>
                <w:rFonts w:ascii="宋体" w:hAnsi="宋体"/>
                <w:b/>
                <w:sz w:val="21"/>
                <w:szCs w:val="21"/>
              </w:rPr>
              <w:t>O：29.10.07</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center"/>
              <w:rPr>
                <w:rFonts w:hint="default" w:ascii="宋体" w:hAnsi="宋体" w:cs="Times New Roman"/>
                <w:b/>
                <w:sz w:val="21"/>
                <w:szCs w:val="21"/>
                <w:lang w:val="en-US" w:eastAsia="zh-CN"/>
              </w:rPr>
            </w:pPr>
            <w:r>
              <w:rPr>
                <w:rFonts w:ascii="宋体" w:hAnsi="宋体" w:cs="Times New Roman"/>
                <w:b/>
                <w:sz w:val="21"/>
                <w:szCs w:val="21"/>
              </w:rPr>
              <w:t>2022-10-22</w:t>
            </w:r>
          </w:p>
        </w:tc>
        <w:tc>
          <w:tcPr>
            <w:tcW w:w="151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661" w:type="dxa"/>
            <w:vAlign w:val="center"/>
          </w:tcPr>
          <w:p>
            <w:pPr>
              <w:spacing w:line="260" w:lineRule="exact"/>
              <w:jc w:val="center"/>
              <w:rPr>
                <w:rFonts w:ascii="宋体" w:hAnsi="宋体" w:cs="Times New Roman"/>
                <w:b w:val="0"/>
                <w:bCs/>
                <w:sz w:val="21"/>
                <w:szCs w:val="21"/>
              </w:rPr>
            </w:pPr>
            <w:r>
              <w:rPr>
                <w:rFonts w:ascii="宋体" w:hAnsi="宋体" w:cs="Times New Roman"/>
                <w:b w:val="0"/>
                <w:bCs/>
                <w:sz w:val="21"/>
                <w:szCs w:val="21"/>
              </w:rPr>
              <w:t>2019</w:t>
            </w:r>
            <w:r>
              <w:rPr>
                <w:rFonts w:hint="eastAsia" w:ascii="宋体" w:hAnsi="宋体" w:cs="Times New Roman"/>
                <w:b w:val="0"/>
                <w:bCs/>
                <w:sz w:val="21"/>
                <w:szCs w:val="21"/>
                <w:lang w:val="en-US" w:eastAsia="zh-CN"/>
              </w:rPr>
              <w:t>.</w:t>
            </w:r>
            <w:r>
              <w:rPr>
                <w:rFonts w:ascii="宋体" w:hAnsi="宋体" w:cs="Times New Roman"/>
                <w:b w:val="0"/>
                <w:bCs/>
                <w:sz w:val="21"/>
                <w:szCs w:val="21"/>
              </w:rPr>
              <w:t>10</w:t>
            </w:r>
            <w:r>
              <w:rPr>
                <w:rFonts w:hint="eastAsia" w:ascii="宋体" w:hAnsi="宋体" w:cs="Times New Roman"/>
                <w:b w:val="0"/>
                <w:bCs/>
                <w:sz w:val="21"/>
                <w:szCs w:val="21"/>
                <w:lang w:val="en-US" w:eastAsia="zh-CN"/>
              </w:rPr>
              <w:t>.</w:t>
            </w:r>
            <w:r>
              <w:rPr>
                <w:rFonts w:ascii="宋体" w:hAnsi="宋体" w:cs="Times New Roman"/>
                <w:b w:val="0"/>
                <w:bCs/>
                <w:sz w:val="21"/>
                <w:szCs w:val="21"/>
              </w:rPr>
              <w:t>13</w:t>
            </w:r>
            <w:r>
              <w:rPr>
                <w:rFonts w:hint="eastAsia" w:ascii="宋体" w:hAnsi="宋体" w:cs="Times New Roman"/>
                <w:b w:val="0"/>
                <w:bCs/>
                <w:sz w:val="21"/>
                <w:szCs w:val="21"/>
                <w:lang w:val="en-US" w:eastAsia="zh-CN"/>
              </w:rPr>
              <w:t>-</w:t>
            </w:r>
            <w:r>
              <w:rPr>
                <w:rFonts w:ascii="宋体" w:hAnsi="宋体" w:cs="Times New Roman"/>
                <w:b w:val="0"/>
                <w:bCs/>
                <w:sz w:val="21"/>
                <w:szCs w:val="21"/>
              </w:rPr>
              <w:t>2019</w:t>
            </w:r>
            <w:r>
              <w:rPr>
                <w:rFonts w:hint="eastAsia" w:ascii="宋体" w:hAnsi="宋体" w:cs="Times New Roman"/>
                <w:b w:val="0"/>
                <w:bCs/>
                <w:sz w:val="21"/>
                <w:szCs w:val="21"/>
                <w:lang w:val="en-US" w:eastAsia="zh-CN"/>
              </w:rPr>
              <w:t>.</w:t>
            </w:r>
            <w:r>
              <w:rPr>
                <w:rFonts w:ascii="宋体" w:hAnsi="宋体" w:cs="Times New Roman"/>
                <w:b w:val="0"/>
                <w:bCs/>
                <w:sz w:val="21"/>
                <w:szCs w:val="21"/>
              </w:rPr>
              <w:t>10</w:t>
            </w:r>
            <w:r>
              <w:rPr>
                <w:rFonts w:hint="eastAsia" w:ascii="宋体" w:hAnsi="宋体" w:cs="Times New Roman"/>
                <w:b w:val="0"/>
                <w:bCs/>
                <w:sz w:val="21"/>
                <w:szCs w:val="21"/>
                <w:lang w:val="en-US" w:eastAsia="zh-CN"/>
              </w:rPr>
              <w:t>.</w:t>
            </w:r>
            <w:r>
              <w:rPr>
                <w:rFonts w:ascii="宋体" w:hAnsi="宋体" w:cs="Times New Roman"/>
                <w:b w:val="0"/>
                <w:bCs/>
                <w:sz w:val="21"/>
                <w:szCs w:val="21"/>
              </w:rPr>
              <w:t>14上午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sz w:val="20"/>
        </w:rPr>
        <w:t>环保设备及配件的销售</w:t>
      </w:r>
      <w:r>
        <w:rPr>
          <w:rFonts w:hint="eastAsia"/>
          <w:sz w:val="20"/>
          <w:lang w:eastAsia="zh-CN"/>
        </w:rPr>
        <w:t>。</w:t>
      </w:r>
      <w:bookmarkStart w:id="27" w:name="_GoBack"/>
      <w:bookmarkEnd w:id="27"/>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24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管理体系有关的相关方包括顾客、政府机构、社区、股东、供应商、内部员工等。相关方对企业的要求有：遵守国家的现行法律法规、保持有效的资质、生产的产品节能环保，对环境无重大污染、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40" w:lineRule="exact"/>
              <w:rPr>
                <w:rFonts w:hint="eastAsia" w:ascii="Times New Roman" w:hAnsi="Times New Roman" w:cs="Times New Roman"/>
                <w:szCs w:val="22"/>
                <w:lang w:val="en-US" w:eastAsia="zh-CN"/>
              </w:rPr>
            </w:pPr>
            <w:r>
              <w:rPr>
                <w:rFonts w:hint="eastAsia" w:ascii="Times New Roman" w:hAnsi="Times New Roman" w:cs="Times New Roman"/>
                <w:szCs w:val="22"/>
              </w:rPr>
              <w:t>1.管理方针：安全为天、质量为先、守法诚信、保护环境、持续发展、顾客满意</w:t>
            </w:r>
          </w:p>
          <w:p>
            <w:pPr>
              <w:spacing w:line="240" w:lineRule="exact"/>
              <w:rPr>
                <w:rFonts w:hint="eastAsia" w:ascii="Times New Roman" w:hAnsi="Times New Roman" w:cs="Times New Roman"/>
                <w:szCs w:val="22"/>
              </w:rPr>
            </w:pPr>
            <w:r>
              <w:rPr>
                <w:rFonts w:hint="eastAsia" w:ascii="Times New Roman" w:hAnsi="Times New Roman" w:cs="Times New Roman"/>
                <w:szCs w:val="22"/>
              </w:rPr>
              <w:t>2. 管理方针与企业的经营宗旨相适应，协调；</w:t>
            </w:r>
          </w:p>
          <w:p>
            <w:pPr>
              <w:spacing w:line="240" w:lineRule="exact"/>
              <w:rPr>
                <w:rFonts w:hint="eastAsia" w:ascii="Times New Roman" w:hAnsi="Times New Roman" w:cs="Times New Roman"/>
                <w:szCs w:val="22"/>
              </w:rPr>
            </w:pPr>
            <w:r>
              <w:rPr>
                <w:rFonts w:hint="eastAsia" w:ascii="Times New Roman" w:hAnsi="Times New Roman" w:cs="Times New Roman"/>
                <w:szCs w:val="22"/>
              </w:rPr>
              <w:t>3. 通过会议传达，沟通，让全体员工理解执行。并定期进行评审（一般一年一次）。</w:t>
            </w:r>
          </w:p>
          <w:p>
            <w:pPr>
              <w:spacing w:line="240" w:lineRule="exact"/>
              <w:rPr>
                <w:rFonts w:hint="default" w:eastAsia="宋体" w:cs="宋体"/>
                <w:lang w:val="en-US" w:eastAsia="zh-CN"/>
              </w:rPr>
            </w:pPr>
            <w:r>
              <w:rPr>
                <w:rFonts w:hint="eastAsia" w:ascii="Times New Roman" w:hAnsi="Times New Roman" w:cs="Times New Roman"/>
                <w:szCs w:val="22"/>
                <w:lang w:val="en-US" w:eastAsia="zh-CN"/>
              </w:rPr>
              <w:t>4. 管理方针持续适宜。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eastAsia="宋体"/>
                <w:b/>
                <w:sz w:val="21"/>
                <w:szCs w:val="21"/>
                <w:lang w:eastAsia="zh-CN"/>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分别从顾客过程、公司内部、外部供方等方面</w:t>
            </w:r>
            <w:r>
              <w:rPr>
                <w:rFonts w:hint="eastAsia"/>
              </w:rPr>
              <w:t>识别了必要的风险和机遇，如：方针和目标变更的需求，产品标准变更，原材料变更，工艺变更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eastAsia="zh-CN"/>
              </w:rPr>
              <w:t>市场部紧密与客户沟通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11" w:hangingChars="100"/>
              <w:rPr>
                <w:rFonts w:ascii="宋体" w:hAnsi="宋体"/>
                <w:b/>
                <w:sz w:val="21"/>
                <w:szCs w:val="21"/>
              </w:rPr>
            </w:pPr>
            <w:r>
              <w:rPr>
                <w:rFonts w:hint="eastAsia" w:ascii="宋体" w:hAnsi="宋体"/>
                <w:b/>
                <w:sz w:val="21"/>
                <w:szCs w:val="21"/>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r>
              <w:rPr>
                <w:rFonts w:hint="eastAsia" w:ascii="宋体" w:hAnsi="宋体" w:cs="宋体"/>
                <w:kern w:val="0"/>
                <w:sz w:val="21"/>
                <w:szCs w:val="21"/>
                <w:lang w:eastAsia="zh-CN"/>
              </w:rPr>
              <w:t>。</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color w:val="000000" w:themeColor="text1"/>
                <w:sz w:val="20"/>
                <w:szCs w:val="20"/>
                <w:u w:val="single"/>
                <w:lang w:val="en-US" w:eastAsia="zh-CN"/>
              </w:rPr>
              <w:t>采购、业务洽谈</w:t>
            </w:r>
            <w:r>
              <w:rPr>
                <w:rFonts w:hint="eastAsia" w:ascii="宋体" w:hAnsi="宋体"/>
                <w:b/>
                <w:color w:val="000000" w:themeColor="text1"/>
                <w:sz w:val="20"/>
                <w:szCs w:val="20"/>
                <w:u w:val="single"/>
              </w:rPr>
              <w:t xml:space="preserve"> </w:t>
            </w:r>
          </w:p>
          <w:p>
            <w:pPr>
              <w:tabs>
                <w:tab w:val="left" w:pos="540"/>
              </w:tabs>
              <w:spacing w:line="300" w:lineRule="exact"/>
              <w:ind w:left="211" w:hanging="211" w:hangingChars="100"/>
              <w:rPr>
                <w:rFonts w:hint="eastAsia"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color w:val="000000" w:themeColor="text1"/>
                <w:sz w:val="20"/>
                <w:szCs w:val="20"/>
                <w:lang w:val="en-US" w:eastAsia="zh-CN"/>
              </w:rPr>
              <w:t>销售服务过程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Q8.3</w:t>
            </w:r>
            <w:r>
              <w:rPr>
                <w:rFonts w:hint="eastAsia" w:ascii="宋体" w:hAnsi="宋体"/>
                <w:b/>
                <w:sz w:val="21"/>
                <w:szCs w:val="21"/>
              </w:rPr>
              <w:t>删减理由：</w:t>
            </w:r>
            <w:r>
              <w:rPr>
                <w:rFonts w:hint="eastAsia" w:ascii="宋体" w:hAnsi="宋体"/>
                <w:b/>
                <w:color w:val="000000" w:themeColor="text1"/>
                <w:sz w:val="20"/>
                <w:szCs w:val="20"/>
              </w:rPr>
              <w:t>不适用理由：</w:t>
            </w:r>
            <w:r>
              <w:rPr>
                <w:rFonts w:hint="eastAsia"/>
                <w:sz w:val="21"/>
                <w:szCs w:val="21"/>
                <w:u w:val="single"/>
              </w:rPr>
              <w:t>公司产品和服务特点，</w:t>
            </w:r>
            <w:r>
              <w:rPr>
                <w:rFonts w:hint="eastAsia"/>
                <w:sz w:val="21"/>
                <w:szCs w:val="21"/>
                <w:u w:val="single"/>
                <w:lang w:eastAsia="zh-CN"/>
              </w:rPr>
              <w:t>产品依据国标、行业标准、客户要求进行</w:t>
            </w:r>
            <w:r>
              <w:rPr>
                <w:rFonts w:hint="eastAsia"/>
                <w:sz w:val="21"/>
                <w:szCs w:val="21"/>
                <w:u w:val="single"/>
                <w:lang w:val="en-US" w:eastAsia="zh-CN"/>
              </w:rPr>
              <w:t>销售</w:t>
            </w:r>
            <w:r>
              <w:rPr>
                <w:rFonts w:hint="eastAsia"/>
                <w:sz w:val="21"/>
                <w:szCs w:val="21"/>
                <w:u w:val="single"/>
                <w:lang w:eastAsia="zh-CN"/>
              </w:rPr>
              <w:t>，</w:t>
            </w:r>
            <w:r>
              <w:rPr>
                <w:rFonts w:hint="eastAsia"/>
                <w:sz w:val="21"/>
                <w:szCs w:val="21"/>
                <w:u w:val="single"/>
                <w:lang w:val="en-US" w:eastAsia="zh-CN"/>
              </w:rPr>
              <w:t>销售模式固定</w:t>
            </w:r>
            <w:r>
              <w:rPr>
                <w:rFonts w:hint="eastAsia"/>
                <w:sz w:val="21"/>
                <w:szCs w:val="21"/>
                <w:u w:val="single"/>
                <w:lang w:eastAsia="zh-CN"/>
              </w:rPr>
              <w:t>，无设计开发要求。</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2"/>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Times New Roman" w:hAnsi="Times New Roman" w:eastAsia="宋体" w:cs="Times New Roman"/>
                <w:kern w:val="2"/>
                <w:sz w:val="24"/>
                <w:szCs w:val="22"/>
                <w:lang w:val="en-US" w:eastAsia="zh-CN" w:bidi="ar-SA"/>
              </w:rPr>
              <w:t>培训</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hint="eastAsia" w:ascii="Times New Roman" w:hAnsi="Times New Roman" w:cs="宋体"/>
                <w:lang w:eastAsia="zh-CN"/>
              </w:rPr>
            </w:pPr>
            <w:r>
              <w:rPr>
                <w:rFonts w:hint="eastAsia" w:ascii="Times New Roman" w:hAnsi="Times New Roman" w:cs="宋体"/>
              </w:rPr>
              <w:t>公司质量目标：成品一次交验合格率≥95%</w:t>
            </w:r>
            <w:r>
              <w:rPr>
                <w:rFonts w:hint="eastAsia" w:cs="宋体"/>
                <w:lang w:eastAsia="zh-CN"/>
              </w:rPr>
              <w:t>，</w:t>
            </w:r>
            <w:r>
              <w:rPr>
                <w:rFonts w:hint="eastAsia" w:ascii="Times New Roman" w:hAnsi="Times New Roman" w:cs="宋体"/>
              </w:rPr>
              <w:t>顾客满意度≥95</w:t>
            </w:r>
            <w:r>
              <w:rPr>
                <w:rFonts w:hint="eastAsia" w:cs="宋体"/>
                <w:lang w:val="en-US" w:eastAsia="zh-CN"/>
              </w:rPr>
              <w:t>%</w:t>
            </w:r>
            <w:r>
              <w:rPr>
                <w:rFonts w:hint="eastAsia" w:ascii="Times New Roman" w:hAnsi="Times New Roman" w:cs="宋体"/>
              </w:rPr>
              <w:t>；环保安全目标：固废分类处置率100%</w:t>
            </w:r>
            <w:r>
              <w:rPr>
                <w:rFonts w:hint="eastAsia" w:cs="宋体"/>
                <w:lang w:eastAsia="zh-CN"/>
              </w:rPr>
              <w:t>，</w:t>
            </w:r>
            <w:r>
              <w:rPr>
                <w:rFonts w:hint="eastAsia" w:ascii="Times New Roman" w:hAnsi="Times New Roman" w:cs="宋体"/>
              </w:rPr>
              <w:t>轻伤事故少于3起/年</w:t>
            </w:r>
            <w:r>
              <w:rPr>
                <w:rFonts w:hint="eastAsia" w:cs="宋体"/>
                <w:lang w:eastAsia="zh-CN"/>
              </w:rPr>
              <w:t>，</w:t>
            </w:r>
            <w:r>
              <w:rPr>
                <w:rFonts w:hint="eastAsia" w:ascii="Times New Roman" w:hAnsi="Times New Roman" w:cs="宋体"/>
              </w:rPr>
              <w:t>无火灾及重大安全事故发生</w:t>
            </w:r>
            <w:r>
              <w:rPr>
                <w:rFonts w:hint="eastAsia" w:cs="宋体"/>
                <w:lang w:eastAsia="zh-CN"/>
              </w:rPr>
              <w:t>，</w:t>
            </w:r>
            <w:r>
              <w:rPr>
                <w:rFonts w:hint="eastAsia" w:ascii="Times New Roman" w:hAnsi="Times New Roman" w:cs="宋体"/>
              </w:rPr>
              <w:t>无职业病发生。</w:t>
            </w:r>
          </w:p>
          <w:p>
            <w:pPr>
              <w:spacing w:line="240" w:lineRule="exact"/>
              <w:rPr>
                <w:rFonts w:ascii="宋体" w:hAnsi="宋体"/>
                <w:b/>
                <w:sz w:val="21"/>
                <w:szCs w:val="2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2020年</w:t>
            </w:r>
            <w:r>
              <w:rPr>
                <w:rFonts w:hint="eastAsia" w:cs="宋体"/>
                <w:lang w:val="en-US" w:eastAsia="zh-CN"/>
              </w:rPr>
              <w:t>3</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施：电脑、电话、一体机、汽车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ascii="宋体" w:hAnsi="宋体"/>
                <w:szCs w:val="21"/>
                <w:lang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hint="eastAsia"/>
                <w:sz w:val="21"/>
                <w:szCs w:val="21"/>
                <w:lang w:eastAsia="zh-CN"/>
              </w:rPr>
              <w:t>河北省沧州市泊头市四营工业园区</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ascii="宋体" w:hAnsi="宋体"/>
                <w:b/>
                <w:sz w:val="21"/>
                <w:szCs w:val="21"/>
              </w:rPr>
            </w:pPr>
            <w:r>
              <w:rPr>
                <w:rFonts w:hint="eastAsia"/>
                <w:sz w:val="21"/>
                <w:szCs w:val="21"/>
                <w:lang w:eastAsia="zh-CN"/>
              </w:rPr>
              <w:t>产品性能由供方进行检验，组织对服务质量进行检查、对顾客满意度进行调查，制定了对应表格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b/>
                <w:sz w:val="21"/>
                <w:szCs w:val="21"/>
              </w:rPr>
            </w:pPr>
            <w:r>
              <w:rPr>
                <w:rFonts w:hint="eastAsia"/>
                <w:sz w:val="21"/>
                <w:szCs w:val="21"/>
              </w:rPr>
              <w:t>公司对法律法规及其他要求进行了获取，包括质量法、合同法、环境保护法、劳动法、消防法、环境空气质量标准、固体废弃物环境防治法、仓库防火安全管理规则、劳动保护用品管理规定、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GB/T19001-2016《质量管理体系 要求》、GB/T24001-2016《环境管理体系 要求及使用指南》、GB/T28001-2011《职业健康安全管理体系 要求》等法规要求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Times New Roman" w:hAnsi="Times New Roman" w:cs="Times New Roman"/>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val="0"/>
                <w:bCs/>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5"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240" w:lineRule="exact"/>
              <w:rPr>
                <w:rFonts w:hint="eastAsia"/>
                <w:sz w:val="21"/>
                <w:szCs w:val="21"/>
                <w:lang w:eastAsia="zh-CN"/>
              </w:rPr>
            </w:pPr>
            <w:r>
              <w:rPr>
                <w:rFonts w:hint="eastAsia"/>
                <w:sz w:val="21"/>
                <w:szCs w:val="21"/>
                <w:lang w:eastAsia="zh-CN"/>
              </w:rPr>
              <w:t>1.管理方针：安全为天、质量为先、守法诚信、保护环境、持续发展、顾客满意。</w:t>
            </w:r>
          </w:p>
          <w:p>
            <w:pPr>
              <w:spacing w:line="240" w:lineRule="exact"/>
              <w:rPr>
                <w:rFonts w:hint="eastAsia"/>
                <w:sz w:val="21"/>
                <w:szCs w:val="21"/>
                <w:lang w:eastAsia="zh-CN"/>
              </w:rPr>
            </w:pPr>
            <w:r>
              <w:rPr>
                <w:rFonts w:hint="eastAsia"/>
                <w:sz w:val="21"/>
                <w:szCs w:val="21"/>
                <w:lang w:eastAsia="zh-CN"/>
              </w:rPr>
              <w:t>2. 管理方针与企业的经营宗旨相适应，协调；</w:t>
            </w:r>
          </w:p>
          <w:p>
            <w:pPr>
              <w:spacing w:line="240" w:lineRule="exact"/>
              <w:rPr>
                <w:rFonts w:hint="eastAsia"/>
                <w:sz w:val="21"/>
                <w:szCs w:val="21"/>
                <w:lang w:eastAsia="zh-CN"/>
              </w:rPr>
            </w:pPr>
            <w:r>
              <w:rPr>
                <w:rFonts w:hint="eastAsia"/>
                <w:sz w:val="21"/>
                <w:szCs w:val="21"/>
                <w:lang w:eastAsia="zh-CN"/>
              </w:rPr>
              <w:t>3. 通过会议传达，沟通，让全体员工理解执行。并定期进行评审（一般一年一次）。</w:t>
            </w:r>
          </w:p>
          <w:p>
            <w:pPr>
              <w:spacing w:line="240" w:lineRule="exact"/>
              <w:rPr>
                <w:rFonts w:hint="eastAsia" w:cs="宋体"/>
              </w:rPr>
            </w:pPr>
            <w:r>
              <w:rPr>
                <w:rFonts w:hint="eastAsia"/>
                <w:sz w:val="21"/>
                <w:szCs w:val="21"/>
                <w:lang w:val="en-US" w:eastAsia="zh-CN"/>
              </w:rPr>
              <w:t>4. 管理评审中有对方针持续适宜性进行了评审。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hint="eastAsia" w:ascii="宋体" w:hAnsi="宋体" w:eastAsia="宋体"/>
                <w:b/>
                <w:sz w:val="21"/>
                <w:szCs w:val="21"/>
                <w:lang w:eastAsia="zh-CN"/>
              </w:rPr>
            </w:pPr>
            <w:r>
              <w:rPr>
                <w:rFonts w:hint="eastAsia" w:ascii="宋体" w:hAnsi="宋体"/>
                <w:b/>
                <w:sz w:val="21"/>
                <w:szCs w:val="21"/>
              </w:rPr>
              <w:t>内部沟通的情况：内部沟通方式：</w:t>
            </w:r>
            <w:r>
              <w:rPr>
                <w:rFonts w:hint="eastAsia" w:ascii="宋体" w:hAnsi="宋体"/>
                <w:sz w:val="21"/>
                <w:szCs w:val="21"/>
              </w:rPr>
              <w:t>文件、会议、电话、面谈等方式进行内部沟通</w:t>
            </w:r>
            <w:r>
              <w:rPr>
                <w:rFonts w:hint="eastAsia" w:ascii="宋体" w:hAnsi="宋体"/>
                <w:sz w:val="21"/>
                <w:szCs w:val="21"/>
                <w:lang w:eastAsia="zh-CN"/>
              </w:rPr>
              <w:t>。</w:t>
            </w:r>
          </w:p>
          <w:p>
            <w:pPr>
              <w:spacing w:line="240" w:lineRule="exact"/>
              <w:rPr>
                <w:rFonts w:ascii="宋体" w:hAnsi="宋体"/>
                <w:b/>
                <w:sz w:val="21"/>
                <w:szCs w:val="21"/>
              </w:rPr>
            </w:pPr>
            <w:r>
              <w:rPr>
                <w:rFonts w:hint="eastAsia" w:ascii="宋体" w:hAnsi="宋体"/>
                <w:b/>
                <w:sz w:val="21"/>
                <w:szCs w:val="21"/>
              </w:rPr>
              <w:t>内部沟通的效果：</w:t>
            </w:r>
            <w:r>
              <w:rPr>
                <w:rFonts w:hint="eastAsia" w:ascii="宋体" w:hAnsi="宋体" w:cs="Times New Roman"/>
                <w:sz w:val="21"/>
                <w:szCs w:val="21"/>
              </w:rPr>
              <w:t>沟通较为顺畅</w:t>
            </w:r>
            <w:r>
              <w:rPr>
                <w:rFonts w:hint="eastAsia" w:ascii="宋体" w:hAnsi="宋体" w:cs="Times New Roman"/>
                <w:sz w:val="21"/>
                <w:szCs w:val="21"/>
                <w:lang w:eastAsia="zh-CN"/>
              </w:rPr>
              <w:t>。</w:t>
            </w: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cs="Times New Roman"/>
                <w:szCs w:val="21"/>
                <w:lang w:val="en-US" w:eastAsia="zh-CN"/>
              </w:rPr>
              <w:t>对顾客回访，进行满意度调查。</w:t>
            </w: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eastAsia"/>
                <w:sz w:val="21"/>
                <w:szCs w:val="21"/>
              </w:rPr>
            </w:pPr>
            <w:r>
              <w:rPr>
                <w:rFonts w:hint="eastAsia"/>
                <w:sz w:val="21"/>
                <w:szCs w:val="21"/>
              </w:rPr>
              <w:t>1.产品和服务要求（投标及合同管理）：主要根据顾客提出的产品要求/标书中明示产品要求/产品执行的技术指标等进行控制，严格按要求进行了合同评审—确保能满足客户需求，控制情况较好。</w:t>
            </w:r>
          </w:p>
          <w:p>
            <w:pPr>
              <w:spacing w:line="240" w:lineRule="exact"/>
              <w:rPr>
                <w:rFonts w:hint="eastAsia"/>
                <w:sz w:val="21"/>
                <w:szCs w:val="21"/>
              </w:rPr>
            </w:pPr>
            <w:r>
              <w:rPr>
                <w:rFonts w:hint="eastAsia"/>
                <w:sz w:val="21"/>
                <w:szCs w:val="21"/>
              </w:rPr>
              <w:t>2.采购过程控制：首先编制采购产品验收规范、采购产品检验规程等作业文件规定采购产品质量要求；其次对供方进行了评价，</w:t>
            </w:r>
            <w:r>
              <w:rPr>
                <w:rFonts w:hint="eastAsia"/>
                <w:sz w:val="21"/>
                <w:szCs w:val="21"/>
                <w:lang w:val="en-US" w:eastAsia="zh-CN"/>
              </w:rPr>
              <w:t>现场审核发现未提供对外包方进行了评价的证据，已开具不符合报告，要求限期整改</w:t>
            </w:r>
            <w:r>
              <w:rPr>
                <w:rFonts w:hint="eastAsia"/>
                <w:sz w:val="21"/>
                <w:szCs w:val="21"/>
              </w:rPr>
              <w:t>。</w:t>
            </w:r>
          </w:p>
          <w:p>
            <w:pPr>
              <w:spacing w:line="240" w:lineRule="exact"/>
              <w:rPr>
                <w:rFonts w:hint="eastAsia"/>
                <w:sz w:val="21"/>
                <w:szCs w:val="21"/>
              </w:rPr>
            </w:pPr>
            <w:r>
              <w:rPr>
                <w:rFonts w:hint="eastAsia"/>
                <w:sz w:val="21"/>
                <w:szCs w:val="21"/>
              </w:rPr>
              <w:t>3.生产和服务提供：</w:t>
            </w:r>
            <w:r>
              <w:rPr>
                <w:rFonts w:hint="eastAsia"/>
                <w:sz w:val="21"/>
                <w:szCs w:val="21"/>
                <w:lang w:val="en-GB"/>
              </w:rPr>
              <w:t>通过市场调研或网络调查，与顾客洽谈产品型号</w:t>
            </w:r>
            <w:r>
              <w:rPr>
                <w:rFonts w:hint="eastAsia"/>
                <w:sz w:val="21"/>
                <w:szCs w:val="21"/>
              </w:rPr>
              <w:t>/数量/价格等信息，与顾客签订合同，进行合同评审，进行售前/售中/售后服务，通过合同评审表，评审内容有交货期/价格/产品质量要求等，目前生产和服务过程控制情况较好。</w:t>
            </w:r>
          </w:p>
          <w:p>
            <w:pPr>
              <w:spacing w:line="240" w:lineRule="exact"/>
              <w:rPr>
                <w:rFonts w:hint="eastAsia"/>
                <w:sz w:val="21"/>
                <w:szCs w:val="21"/>
              </w:rPr>
            </w:pPr>
            <w:r>
              <w:rPr>
                <w:rFonts w:hint="eastAsia"/>
                <w:sz w:val="21"/>
                <w:szCs w:val="21"/>
              </w:rPr>
              <w:t>4.销售过程：公司与产品有关的要求主要体现在标书、合同及相关法律法规及标准中。一般通过电话、老客户介绍、招投标等方式进行销售。在签订正式合同前，由供销部组织进行合同评审，签订合同后，组织生产及时与客户沟通，按时交付。收集顾客对产品的反馈信息，开展顾客满意度调查，包括顾客抱怨和投诉，体系建立以来未发生顾客投诉事件。</w:t>
            </w:r>
          </w:p>
          <w:p>
            <w:pPr>
              <w:spacing w:line="240" w:lineRule="exact"/>
              <w:rPr>
                <w:rFonts w:hint="eastAsia"/>
                <w:sz w:val="21"/>
                <w:szCs w:val="21"/>
              </w:rPr>
            </w:pPr>
            <w:r>
              <w:rPr>
                <w:rFonts w:hint="eastAsia"/>
                <w:sz w:val="21"/>
                <w:szCs w:val="21"/>
              </w:rPr>
              <w:t>5.不合格品控制情况评价：在产品进货检验中出现的不合格可进行退货处理，在产品交付后出现不合格可进行换货或退货处理；出厂的产品均为合格品，至今客户反馈无质量问题。</w:t>
            </w:r>
          </w:p>
          <w:p>
            <w:pPr>
              <w:spacing w:line="240" w:lineRule="exact"/>
              <w:rPr>
                <w:rFonts w:ascii="宋体" w:hAnsi="宋体"/>
                <w:b/>
                <w:sz w:val="21"/>
                <w:szCs w:val="21"/>
              </w:rPr>
            </w:pPr>
            <w:r>
              <w:rPr>
                <w:rFonts w:hint="eastAsia"/>
                <w:sz w:val="21"/>
                <w:szCs w:val="21"/>
              </w:rPr>
              <w:t>6.变更的控制：销售合同评审后，按合同要求进行采购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val="0"/>
                <w:bCs/>
                <w:sz w:val="21"/>
                <w:szCs w:val="21"/>
              </w:rPr>
            </w:pPr>
            <w:r>
              <w:rPr>
                <w:rFonts w:hint="eastAsia"/>
                <w:b w:val="0"/>
                <w:bCs/>
                <w:color w:val="000000" w:themeColor="text1"/>
                <w:sz w:val="20"/>
                <w:szCs w:val="20"/>
                <w:lang w:val="en-US" w:eastAsia="zh-CN"/>
              </w:rPr>
              <w:t>主要满足客户要求，目前向顾客提供的产品均合格，提供有客户验收记录。</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sz w:val="21"/>
                <w:szCs w:val="21"/>
                <w:lang w:val="en-GB"/>
              </w:rPr>
              <w:t>编制</w:t>
            </w:r>
            <w:r>
              <w:rPr>
                <w:rFonts w:hint="eastAsia"/>
                <w:sz w:val="21"/>
                <w:szCs w:val="21"/>
              </w:rPr>
              <w:t>环境、职业健康安全运行控制程序，固体废弃物管理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现场查看办公区域干净整洁，</w:t>
            </w:r>
            <w:r>
              <w:rPr>
                <w:rFonts w:hint="eastAsia"/>
                <w:sz w:val="21"/>
                <w:szCs w:val="21"/>
                <w:lang w:val="en-US" w:eastAsia="zh-CN"/>
              </w:rPr>
              <w:t>无安全隐患</w:t>
            </w:r>
            <w:r>
              <w:rPr>
                <w:rFonts w:hint="eastAsia"/>
                <w:b w:val="0"/>
                <w:bCs w:val="0"/>
                <w:sz w:val="21"/>
                <w:szCs w:val="21"/>
                <w:lang w:val="en-US" w:eastAsia="zh-CN"/>
              </w:rPr>
              <w:t>。</w:t>
            </w:r>
            <w:r>
              <w:rPr>
                <w:rFonts w:hint="eastAsia"/>
                <w:sz w:val="21"/>
                <w:szCs w:val="21"/>
              </w:rPr>
              <w:t>未能提供将公司</w:t>
            </w:r>
            <w:r>
              <w:rPr>
                <w:rFonts w:hint="eastAsia"/>
                <w:sz w:val="21"/>
                <w:szCs w:val="21"/>
                <w:lang w:val="en-US" w:eastAsia="zh-CN"/>
              </w:rPr>
              <w:t>环境</w:t>
            </w:r>
            <w:r>
              <w:rPr>
                <w:rFonts w:hint="eastAsia"/>
                <w:sz w:val="21"/>
                <w:szCs w:val="21"/>
              </w:rPr>
              <w:t>方面的要求对</w:t>
            </w:r>
            <w:r>
              <w:rPr>
                <w:rFonts w:hint="eastAsia"/>
                <w:sz w:val="21"/>
                <w:szCs w:val="21"/>
                <w:lang w:val="en-US" w:eastAsia="zh-CN"/>
              </w:rPr>
              <w:t>产品运输</w:t>
            </w:r>
            <w:r>
              <w:rPr>
                <w:rFonts w:hint="eastAsia"/>
                <w:sz w:val="21"/>
                <w:szCs w:val="21"/>
              </w:rPr>
              <w:t>相关方进行了告知的证据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8. OHSMS</w:t>
            </w:r>
            <w:r>
              <w:rPr>
                <w:rFonts w:hint="eastAsia" w:ascii="宋体" w:hAnsi="宋体"/>
                <w:b/>
                <w:sz w:val="21"/>
                <w:szCs w:val="21"/>
              </w:rPr>
              <w:t>组织对不可接受风险实施控制的结果</w:t>
            </w:r>
            <w:r>
              <w:rPr>
                <w:rFonts w:hint="eastAsia" w:ascii="宋体" w:hAnsi="宋体"/>
                <w:b/>
                <w:sz w:val="21"/>
                <w:szCs w:val="21"/>
                <w:lang w:eastAsia="zh-CN"/>
              </w:rPr>
              <w:t>：</w:t>
            </w:r>
            <w:r>
              <w:rPr>
                <w:rFonts w:hint="eastAsia"/>
                <w:sz w:val="21"/>
                <w:szCs w:val="21"/>
                <w:lang w:val="en-GB"/>
              </w:rPr>
              <w:t>编制环境、职业健康安全运行控制程序，对相关方施加影响</w:t>
            </w:r>
            <w:r>
              <w:rPr>
                <w:rFonts w:hint="eastAsia"/>
                <w:sz w:val="21"/>
                <w:szCs w:val="21"/>
                <w:lang w:val="en-US" w:eastAsia="zh-CN"/>
              </w:rPr>
              <w:t>管理规定</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、相关方施加影响等进行控制，具体措施有对员工进行安全教育，发放劳保用品，对相关方进行告知，现场查看办公区域干净整洁，</w:t>
            </w:r>
            <w:r>
              <w:rPr>
                <w:rFonts w:hint="eastAsia"/>
                <w:sz w:val="21"/>
                <w:szCs w:val="21"/>
                <w:lang w:val="en-US" w:eastAsia="zh-CN"/>
              </w:rPr>
              <w:t>无安全隐患</w:t>
            </w:r>
            <w:r>
              <w:rPr>
                <w:rFonts w:hint="eastAsia"/>
                <w:sz w:val="21"/>
                <w:szCs w:val="21"/>
                <w:lang w:eastAsia="zh-CN"/>
              </w:rPr>
              <w:t>。</w:t>
            </w:r>
            <w:r>
              <w:rPr>
                <w:rFonts w:hint="eastAsia"/>
                <w:sz w:val="21"/>
                <w:szCs w:val="21"/>
              </w:rPr>
              <w:t>未能提供将公司职业健康安全方面的要求对</w:t>
            </w:r>
            <w:r>
              <w:rPr>
                <w:rFonts w:hint="eastAsia"/>
                <w:sz w:val="21"/>
                <w:szCs w:val="21"/>
                <w:lang w:val="en-US" w:eastAsia="zh-CN"/>
              </w:rPr>
              <w:t>产品运输</w:t>
            </w:r>
            <w:r>
              <w:rPr>
                <w:rFonts w:hint="eastAsia"/>
                <w:sz w:val="21"/>
                <w:szCs w:val="21"/>
              </w:rPr>
              <w:t>相关方进行了告知的证据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顾客满意</w:t>
            </w:r>
            <w:r>
              <w:rPr>
                <w:rFonts w:hint="eastAsia" w:ascii="宋体" w:hAnsi="宋体"/>
                <w:b/>
                <w:sz w:val="21"/>
                <w:szCs w:val="21"/>
                <w:lang w:eastAsia="zh-CN"/>
              </w:rPr>
              <w:t>：</w:t>
            </w: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r>
              <w:rPr>
                <w:rFonts w:hint="eastAsia"/>
                <w:sz w:val="21"/>
                <w:szCs w:val="21"/>
              </w:rPr>
              <w:t>按照策划的安排于</w:t>
            </w:r>
            <w:r>
              <w:t>20</w:t>
            </w:r>
            <w:r>
              <w:rPr>
                <w:rFonts w:hint="eastAsia"/>
                <w:lang w:val="en-US" w:eastAsia="zh-CN"/>
              </w:rPr>
              <w:t>20年9月15-16日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sz w:val="21"/>
                <w:szCs w:val="21"/>
              </w:rPr>
              <w:t>按照策划的安排于</w:t>
            </w:r>
            <w:r>
              <w:t>20</w:t>
            </w:r>
            <w:r>
              <w:rPr>
                <w:rFonts w:hint="eastAsia"/>
                <w:lang w:val="en-US" w:eastAsia="zh-CN"/>
              </w:rPr>
              <w:t>20年9</w:t>
            </w:r>
            <w:r>
              <w:rPr>
                <w:rFonts w:hint="eastAsia" w:cs="宋体"/>
              </w:rPr>
              <w:t>月</w:t>
            </w:r>
            <w:r>
              <w:rPr>
                <w:rFonts w:hint="eastAsia"/>
                <w:lang w:val="en-US" w:eastAsia="zh-CN"/>
              </w:rPr>
              <w:t>30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r>
              <w:rPr>
                <w:rFonts w:hint="eastAsia"/>
                <w:b w:val="0"/>
                <w:bCs/>
                <w:color w:val="000000" w:themeColor="text1"/>
                <w:sz w:val="21"/>
                <w:szCs w:val="21"/>
                <w:lang w:val="en-US" w:eastAsia="zh-CN"/>
              </w:rPr>
              <w:t>对员工进行了体检，显示合格。</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sz w:val="21"/>
                <w:szCs w:val="21"/>
                <w:lang w:eastAsia="zh-CN"/>
              </w:rPr>
              <w:t>对</w:t>
            </w:r>
            <w:r>
              <w:rPr>
                <w:rFonts w:hint="eastAsia"/>
                <w:sz w:val="21"/>
                <w:szCs w:val="21"/>
              </w:rPr>
              <w:t>内审</w:t>
            </w:r>
            <w:r>
              <w:rPr>
                <w:rFonts w:hint="eastAsia"/>
                <w:sz w:val="21"/>
                <w:szCs w:val="21"/>
                <w:lang w:val="en-US" w:eastAsia="zh-CN"/>
              </w:rPr>
              <w:t>和上次外审</w:t>
            </w:r>
            <w:r>
              <w:rPr>
                <w:rFonts w:hint="eastAsia"/>
                <w:sz w:val="21"/>
                <w:szCs w:val="21"/>
              </w:rPr>
              <w:t>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b w:val="0"/>
                <w:bCs/>
                <w:color w:val="000000" w:themeColor="text1"/>
                <w:sz w:val="20"/>
                <w:szCs w:val="20"/>
                <w:lang w:val="en-US" w:eastAsia="zh-CN"/>
              </w:rPr>
              <w:t>积极开展新的销售模式。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val="0"/>
                <w:bCs/>
                <w:sz w:val="21"/>
                <w:szCs w:val="21"/>
                <w:lang w:val="en-US" w:eastAsia="zh-CN"/>
              </w:rPr>
              <w:t>上次不符合项已经整改完毕，整改情况较好。</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8"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left="252" w:leftChars="105" w:firstLine="0" w:firstLineChars="0"/>
              <w:rPr>
                <w:rFonts w:hint="eastAsia" w:ascii="Times New Roman" w:hAnsi="Times New Roman" w:cs="Times New Roman"/>
                <w:b w:val="0"/>
                <w:bCs/>
                <w:color w:val="000000" w:themeColor="text1"/>
                <w:sz w:val="22"/>
                <w:szCs w:val="22"/>
              </w:rPr>
            </w:pPr>
            <w:r>
              <w:rPr>
                <w:rFonts w:hint="eastAsia" w:ascii="Times New Roman" w:hAnsi="Times New Roman" w:cs="Times New Roman"/>
                <w:b w:val="0"/>
                <w:bCs/>
                <w:color w:val="000000" w:themeColor="text1"/>
                <w:sz w:val="22"/>
                <w:szCs w:val="22"/>
              </w:rPr>
              <w:t>组织的</w:t>
            </w:r>
            <w:r>
              <w:rPr>
                <w:rFonts w:hint="eastAsia" w:ascii="Times New Roman" w:hAnsi="Times New Roman" w:cs="Times New Roman"/>
                <w:b w:val="0"/>
                <w:bCs/>
                <w:color w:val="000000" w:themeColor="text1"/>
                <w:sz w:val="22"/>
                <w:szCs w:val="22"/>
                <w:lang w:val="en-US" w:eastAsia="zh-CN"/>
              </w:rPr>
              <w:t>QEO</w:t>
            </w:r>
            <w:r>
              <w:rPr>
                <w:rFonts w:hint="eastAsia" w:ascii="Times New Roman" w:hAnsi="Times New Roman" w:cs="Times New Roman"/>
                <w:b w:val="0"/>
                <w:bCs/>
                <w:color w:val="000000" w:themeColor="text1"/>
                <w:sz w:val="22"/>
                <w:szCs w:val="22"/>
              </w:rPr>
              <w:t>管理体系在认证周期内持续</w:t>
            </w:r>
            <w:r>
              <w:rPr>
                <w:rFonts w:hint="eastAsia" w:ascii="Times New Roman" w:hAnsi="Times New Roman" w:cs="Times New Roman"/>
                <w:b w:val="0"/>
                <w:bCs/>
                <w:color w:val="000000" w:themeColor="text1"/>
                <w:sz w:val="22"/>
                <w:szCs w:val="22"/>
                <w:lang w:val="en-US" w:eastAsia="zh-CN"/>
              </w:rPr>
              <w:t>有效</w:t>
            </w:r>
            <w:r>
              <w:rPr>
                <w:rFonts w:hint="eastAsia" w:ascii="Times New Roman" w:hAnsi="Times New Roman" w:cs="Times New Roman"/>
                <w:b w:val="0"/>
                <w:bCs/>
                <w:color w:val="000000" w:themeColor="text1"/>
                <w:sz w:val="22"/>
                <w:szCs w:val="22"/>
              </w:rPr>
              <w:t>，持续满足标准要求和目标有效，</w:t>
            </w:r>
            <w:r>
              <w:rPr>
                <w:rFonts w:hint="eastAsia" w:ascii="Times New Roman" w:hAnsi="Times New Roman" w:cs="Times New Roman"/>
                <w:b w:val="0"/>
                <w:bCs/>
                <w:color w:val="000000" w:themeColor="text1"/>
                <w:sz w:val="22"/>
                <w:szCs w:val="22"/>
                <w:lang w:val="en-US" w:eastAsia="zh-CN"/>
              </w:rPr>
              <w:t>能够</w:t>
            </w:r>
            <w:r>
              <w:rPr>
                <w:rFonts w:hint="eastAsia" w:ascii="Times New Roman" w:hAnsi="Times New Roman" w:cs="Times New Roman"/>
                <w:b w:val="0"/>
                <w:bCs/>
                <w:color w:val="000000" w:themeColor="text1"/>
                <w:sz w:val="22"/>
                <w:szCs w:val="22"/>
              </w:rPr>
              <w:t>稳定、合格</w:t>
            </w:r>
            <w:r>
              <w:rPr>
                <w:rFonts w:hint="eastAsia" w:ascii="Times New Roman" w:hAnsi="Times New Roman" w:cs="Times New Roman"/>
                <w:b w:val="0"/>
                <w:bCs/>
                <w:color w:val="000000" w:themeColor="text1"/>
                <w:sz w:val="22"/>
                <w:szCs w:val="22"/>
                <w:lang w:val="en-US" w:eastAsia="zh-CN"/>
              </w:rPr>
              <w:t>地提供顾客满意的</w:t>
            </w:r>
            <w:r>
              <w:rPr>
                <w:rFonts w:hint="eastAsia" w:ascii="Times New Roman" w:hAnsi="Times New Roman" w:cs="Times New Roman"/>
                <w:b w:val="0"/>
                <w:bCs/>
                <w:color w:val="000000" w:themeColor="text1"/>
                <w:sz w:val="22"/>
                <w:szCs w:val="22"/>
              </w:rPr>
              <w:t>产品</w:t>
            </w:r>
            <w:r>
              <w:rPr>
                <w:rFonts w:hint="eastAsia" w:ascii="Times New Roman" w:hAnsi="Times New Roman" w:cs="Times New Roman"/>
                <w:b w:val="0"/>
                <w:bCs/>
                <w:color w:val="000000" w:themeColor="text1"/>
                <w:sz w:val="22"/>
                <w:szCs w:val="22"/>
                <w:lang w:eastAsia="zh-CN"/>
              </w:rPr>
              <w:t>；</w:t>
            </w:r>
            <w:r>
              <w:rPr>
                <w:rFonts w:hint="eastAsia" w:ascii="Times New Roman" w:hAnsi="Times New Roman" w:cs="Times New Roman"/>
                <w:b w:val="0"/>
                <w:bCs/>
                <w:color w:val="000000" w:themeColor="text1"/>
                <w:sz w:val="22"/>
                <w:szCs w:val="22"/>
                <w:lang w:val="en-US" w:eastAsia="zh-CN"/>
              </w:rPr>
              <w:t>能够</w:t>
            </w:r>
            <w:r>
              <w:rPr>
                <w:rFonts w:hint="eastAsia" w:ascii="Times New Roman" w:hAnsi="Times New Roman" w:cs="Times New Roman"/>
                <w:b w:val="0"/>
                <w:bCs/>
                <w:color w:val="000000" w:themeColor="text1"/>
                <w:sz w:val="22"/>
                <w:szCs w:val="22"/>
              </w:rPr>
              <w:t>满足环境/职业健康安全法规</w:t>
            </w:r>
            <w:r>
              <w:rPr>
                <w:rFonts w:hint="eastAsia" w:ascii="Times New Roman" w:hAnsi="Times New Roman" w:cs="Times New Roman"/>
                <w:b w:val="0"/>
                <w:bCs/>
                <w:color w:val="000000" w:themeColor="text1"/>
                <w:sz w:val="22"/>
                <w:szCs w:val="22"/>
                <w:lang w:eastAsia="zh-CN"/>
              </w:rPr>
              <w:t>，</w:t>
            </w:r>
            <w:r>
              <w:rPr>
                <w:rFonts w:hint="eastAsia" w:ascii="Times New Roman" w:hAnsi="Times New Roman" w:cs="Times New Roman"/>
                <w:b w:val="0"/>
                <w:bCs/>
                <w:color w:val="000000" w:themeColor="text1"/>
                <w:sz w:val="22"/>
                <w:szCs w:val="22"/>
                <w:lang w:val="en-US" w:eastAsia="zh-CN"/>
              </w:rPr>
              <w:t>对环境因素和危险源进行了控制，近一年没有</w:t>
            </w:r>
            <w:r>
              <w:rPr>
                <w:rFonts w:hint="eastAsia" w:ascii="Times New Roman" w:hAnsi="Times New Roman" w:cs="Times New Roman"/>
                <w:b w:val="0"/>
                <w:bCs/>
                <w:color w:val="000000" w:themeColor="text1"/>
                <w:sz w:val="22"/>
                <w:szCs w:val="22"/>
              </w:rPr>
              <w:t>重大事故</w:t>
            </w:r>
            <w:r>
              <w:rPr>
                <w:rFonts w:hint="eastAsia" w:ascii="Times New Roman" w:hAnsi="Times New Roman" w:cs="Times New Roman"/>
                <w:b w:val="0"/>
                <w:bCs/>
                <w:color w:val="000000" w:themeColor="text1"/>
                <w:sz w:val="22"/>
                <w:szCs w:val="22"/>
                <w:lang w:val="en-US" w:eastAsia="zh-CN"/>
              </w:rPr>
              <w:t>发生，能够</w:t>
            </w:r>
            <w:r>
              <w:rPr>
                <w:rFonts w:hint="eastAsia" w:ascii="Times New Roman" w:hAnsi="Times New Roman" w:cs="Times New Roman"/>
                <w:b w:val="0"/>
                <w:bCs/>
                <w:color w:val="000000" w:themeColor="text1"/>
                <w:sz w:val="22"/>
                <w:szCs w:val="22"/>
              </w:rPr>
              <w:t>持续改进策划的活动；</w:t>
            </w:r>
          </w:p>
          <w:p>
            <w:pPr>
              <w:spacing w:line="280" w:lineRule="exact"/>
              <w:ind w:firstLine="220" w:firstLineChars="100"/>
              <w:rPr>
                <w:rFonts w:ascii="宋体" w:hAnsi="宋体"/>
                <w:b/>
                <w:szCs w:val="21"/>
              </w:rPr>
            </w:pPr>
            <w:r>
              <w:rPr>
                <w:rFonts w:hint="eastAsia" w:ascii="Times New Roman" w:hAnsi="Times New Roman" w:cs="Times New Roman"/>
                <w:b w:val="0"/>
                <w:bCs/>
                <w:color w:val="000000" w:themeColor="text1"/>
                <w:sz w:val="22"/>
                <w:szCs w:val="22"/>
                <w:lang w:val="en-US" w:eastAsia="zh-CN"/>
              </w:rPr>
              <w:t>公司没有</w:t>
            </w:r>
            <w:r>
              <w:rPr>
                <w:rFonts w:hint="eastAsia" w:ascii="Times New Roman" w:hAnsi="Times New Roman" w:cs="Times New Roman"/>
                <w:b w:val="0"/>
                <w:bCs/>
                <w:color w:val="000000" w:themeColor="text1"/>
                <w:sz w:val="22"/>
                <w:szCs w:val="22"/>
              </w:rPr>
              <w:t>扩大范围情况</w:t>
            </w:r>
            <w:r>
              <w:rPr>
                <w:rFonts w:hint="eastAsia" w:ascii="Times New Roman" w:hAnsi="Times New Roman" w:cs="Times New Roman"/>
                <w:b w:val="0"/>
                <w:bCs/>
                <w:color w:val="000000" w:themeColor="text1"/>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r>
        <w:drawing>
          <wp:anchor distT="0" distB="0" distL="114300" distR="114300" simplePos="0" relativeHeight="251668480" behindDoc="1" locked="0" layoutInCell="1" allowOverlap="1">
            <wp:simplePos x="0" y="0"/>
            <wp:positionH relativeFrom="column">
              <wp:posOffset>1689100</wp:posOffset>
            </wp:positionH>
            <wp:positionV relativeFrom="paragraph">
              <wp:posOffset>201295</wp:posOffset>
            </wp:positionV>
            <wp:extent cx="744855" cy="754380"/>
            <wp:effectExtent l="0" t="0" r="4445" b="7620"/>
            <wp:wrapTight wrapText="bothSides">
              <wp:wrapPolygon>
                <wp:start x="0" y="0"/>
                <wp:lineTo x="0" y="21091"/>
                <wp:lineTo x="21361" y="21091"/>
                <wp:lineTo x="2136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contrast="84000"/>
                    </a:blip>
                    <a:stretch>
                      <a:fillRect/>
                    </a:stretch>
                  </pic:blipFill>
                  <pic:spPr>
                    <a:xfrm>
                      <a:off x="0" y="0"/>
                      <a:ext cx="744855" cy="754380"/>
                    </a:xfrm>
                    <a:prstGeom prst="rect">
                      <a:avLst/>
                    </a:prstGeom>
                    <a:solidFill>
                      <a:srgbClr val="9BBB59">
                        <a:alpha val="56000"/>
                      </a:srgbClr>
                    </a:solidFill>
                    <a:ln>
                      <a:noFill/>
                    </a:ln>
                    <a:effectLst>
                      <a:outerShdw algn="ctr" rotWithShape="0">
                        <a:srgbClr val="808080">
                          <a:alpha val="100000"/>
                        </a:srgbClr>
                      </a:outerShdw>
                    </a:effectLst>
                  </pic:spPr>
                </pic:pic>
              </a:graphicData>
            </a:graphic>
          </wp:anchor>
        </w:drawing>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2020.10.27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b/>
          <w:sz w:val="21"/>
          <w:szCs w:val="21"/>
          <w:u w:val="single"/>
        </w:rPr>
      </w:pPr>
      <w:r>
        <w:drawing>
          <wp:anchor distT="0" distB="0" distL="114300" distR="114300" simplePos="0" relativeHeight="251676672" behindDoc="1" locked="0" layoutInCell="1" allowOverlap="1">
            <wp:simplePos x="0" y="0"/>
            <wp:positionH relativeFrom="column">
              <wp:posOffset>1306195</wp:posOffset>
            </wp:positionH>
            <wp:positionV relativeFrom="paragraph">
              <wp:posOffset>14605</wp:posOffset>
            </wp:positionV>
            <wp:extent cx="744855" cy="754380"/>
            <wp:effectExtent l="0" t="0" r="4445" b="7620"/>
            <wp:wrapTight wrapText="bothSides">
              <wp:wrapPolygon>
                <wp:start x="0" y="0"/>
                <wp:lineTo x="0" y="21091"/>
                <wp:lineTo x="21361" y="21091"/>
                <wp:lineTo x="2136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lum contrast="84000"/>
                    </a:blip>
                    <a:stretch>
                      <a:fillRect/>
                    </a:stretch>
                  </pic:blipFill>
                  <pic:spPr>
                    <a:xfrm>
                      <a:off x="0" y="0"/>
                      <a:ext cx="744855" cy="754380"/>
                    </a:xfrm>
                    <a:prstGeom prst="rect">
                      <a:avLst/>
                    </a:prstGeom>
                    <a:solidFill>
                      <a:srgbClr val="9BBB59">
                        <a:alpha val="56000"/>
                      </a:srgbClr>
                    </a:solidFill>
                    <a:ln>
                      <a:noFill/>
                    </a:ln>
                    <a:effectLst>
                      <a:outerShdw algn="ctr" rotWithShape="0">
                        <a:srgbClr val="808080">
                          <a:alpha val="100000"/>
                        </a:srgbClr>
                      </a:outerShdw>
                    </a:effectLst>
                  </pic:spPr>
                </pic:pic>
              </a:graphicData>
            </a:graphic>
          </wp:anchor>
        </w:drawing>
      </w:r>
      <w:r>
        <w:rPr>
          <w:rFonts w:hint="eastAsia"/>
          <w:b/>
          <w:sz w:val="21"/>
          <w:szCs w:val="21"/>
        </w:rPr>
        <w:t>组长签字：</w:t>
      </w:r>
    </w:p>
    <w:p>
      <w:pPr>
        <w:ind w:left="783" w:hanging="783" w:hangingChars="300"/>
        <w:rPr>
          <w:rFonts w:hint="eastAsia"/>
          <w:b/>
          <w:sz w:val="26"/>
          <w:szCs w:val="26"/>
        </w:rPr>
      </w:pP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146737B4"/>
    <w:multiLevelType w:val="singleLevel"/>
    <w:tmpl w:val="146737B4"/>
    <w:lvl w:ilvl="0" w:tentative="0">
      <w:start w:val="3"/>
      <w:numFmt w:val="decimal"/>
      <w:lvlText w:val="%1."/>
      <w:lvlJc w:val="left"/>
      <w:pPr>
        <w:tabs>
          <w:tab w:val="left" w:pos="312"/>
        </w:tabs>
      </w:p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3649EF"/>
    <w:rsid w:val="1E031716"/>
    <w:rsid w:val="2D552E6D"/>
    <w:rsid w:val="37AE3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iPriority w:val="99"/>
    <w:rPr>
      <w:sz w:val="18"/>
      <w:szCs w:val="18"/>
    </w:rPr>
  </w:style>
  <w:style w:type="paragraph" w:styleId="3">
    <w:name w:val="footer"/>
    <w:basedOn w:val="1"/>
    <w:link w:val="11"/>
    <w:semiHidden/>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Subtitle"/>
    <w:basedOn w:val="1"/>
    <w:next w:val="1"/>
    <w:qFormat/>
    <w:locked/>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semiHidden/>
    <w:qFormat/>
    <w:locked/>
    <w:uiPriority w:val="99"/>
    <w:rPr>
      <w:rFonts w:ascii="Times New Roman" w:hAnsi="Times New Roman" w:eastAsia="宋体" w:cs="Times New Roman"/>
      <w:sz w:val="18"/>
      <w:szCs w:val="18"/>
    </w:rPr>
  </w:style>
  <w:style w:type="character" w:customStyle="1" w:styleId="12">
    <w:name w:val="页眉 Char"/>
    <w:link w:val="4"/>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开门大吉～ISO认证服务</cp:lastModifiedBy>
  <cp:lastPrinted>2019-04-18T08:15:00Z</cp:lastPrinted>
  <dcterms:modified xsi:type="dcterms:W3CDTF">2020-10-26T05:23:00Z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