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抽油泵上保护器水压试验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25MPa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±0.64MPa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4MPa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(0-40)Mpa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  <w:sz w:val="24"/>
              </w:rPr>
              <w:t>1.3MPa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HCFCL/-01抽油泵上保护器水压试验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苏灵军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抽油泵上保护器</w:t>
            </w:r>
            <w:r>
              <w:rPr>
                <w:rFonts w:hint="eastAsia"/>
                <w:szCs w:val="21"/>
              </w:rPr>
              <w:t>水压密封试验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</w:rPr>
              <w:t>抽油泵上保护器</w:t>
            </w:r>
            <w:r>
              <w:rPr>
                <w:rFonts w:hint="eastAsia"/>
                <w:sz w:val="18"/>
                <w:szCs w:val="18"/>
              </w:rPr>
              <w:t>水压密封试验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</w:rPr>
              <w:t>抽油泵上保护器</w:t>
            </w:r>
            <w:r>
              <w:rPr>
                <w:rFonts w:hint="eastAsia"/>
                <w:sz w:val="18"/>
                <w:szCs w:val="18"/>
              </w:rPr>
              <w:t>水压密封试验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85728F4"/>
    <w:rsid w:val="1DA14E0D"/>
    <w:rsid w:val="1DE87F7B"/>
    <w:rsid w:val="215E56CA"/>
    <w:rsid w:val="22515120"/>
    <w:rsid w:val="27790BA1"/>
    <w:rsid w:val="30796B89"/>
    <w:rsid w:val="318C72AB"/>
    <w:rsid w:val="40FC20FC"/>
    <w:rsid w:val="41611ECB"/>
    <w:rsid w:val="4C3471A0"/>
    <w:rsid w:val="4D152B6D"/>
    <w:rsid w:val="4E323E7D"/>
    <w:rsid w:val="58053C38"/>
    <w:rsid w:val="58FF3EBE"/>
    <w:rsid w:val="5924691E"/>
    <w:rsid w:val="597107B2"/>
    <w:rsid w:val="59757912"/>
    <w:rsid w:val="5E477E35"/>
    <w:rsid w:val="643B794A"/>
    <w:rsid w:val="64AA3643"/>
    <w:rsid w:val="64C84113"/>
    <w:rsid w:val="685E4B9A"/>
    <w:rsid w:val="6A86693A"/>
    <w:rsid w:val="6D4C78B0"/>
    <w:rsid w:val="70332EB6"/>
    <w:rsid w:val="742B223A"/>
    <w:rsid w:val="77190B02"/>
    <w:rsid w:val="7BA60639"/>
    <w:rsid w:val="7F1046BE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2020-10-21T02:01:12Z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