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bookmarkStart w:id="0" w:name="合同编号"/>
      <w:r>
        <w:rPr>
          <w:rFonts w:hint="eastAsia" w:ascii="宋体" w:hAnsi="宋体"/>
          <w:b/>
          <w:bCs/>
          <w:kern w:val="0"/>
          <w:szCs w:val="21"/>
          <w:u w:val="single"/>
        </w:rPr>
        <w:t>0503-2019-Q-2020</w:t>
      </w:r>
      <w:bookmarkEnd w:id="0"/>
      <w:r>
        <w:rPr>
          <w:rFonts w:hint="eastAsia" w:ascii="宋体" w:hAnsi="宋体"/>
          <w:b/>
          <w:bCs/>
          <w:kern w:val="0"/>
          <w:szCs w:val="21"/>
          <w:u w:val="single"/>
        </w:rPr>
        <w:t xml:space="preserve"> </w:t>
      </w:r>
      <w:r>
        <w:rPr>
          <w:szCs w:val="44"/>
        </w:rPr>
        <w:t xml:space="preserve"> </w:t>
      </w:r>
    </w:p>
    <w:p>
      <w:pPr>
        <w:snapToGrid w:val="0"/>
        <w:spacing w:line="480" w:lineRule="auto"/>
        <w:ind w:firstLine="5301" w:firstLineChars="2200"/>
        <w:rPr>
          <w:b/>
        </w:rPr>
      </w:pPr>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afterLines="30"/>
        <w:ind w:firstLine="321" w:firstLineChars="100"/>
        <w:rPr>
          <w:rFonts w:hint="eastAsia" w:ascii="楷体" w:hAnsi="楷体" w:eastAsia="楷体"/>
          <w:b/>
          <w:color w:val="000000"/>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sz w:val="32"/>
          <w:szCs w:val="32"/>
        </w:rPr>
        <w:t>受审核方：重庆博鼎建筑设计有限公司</w:t>
      </w:r>
    </w:p>
    <w:p>
      <w:pPr>
        <w:snapToGrid w:val="0"/>
        <w:spacing w:afterLines="30"/>
        <w:ind w:firstLine="321" w:firstLineChars="100"/>
        <w:rPr>
          <w:rFonts w:hint="eastAsia" w:ascii="楷体" w:hAnsi="楷体" w:eastAsia="楷体"/>
          <w:b/>
          <w:color w:val="000000"/>
          <w:sz w:val="32"/>
          <w:szCs w:val="32"/>
        </w:rPr>
      </w:pP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 1 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Style w:val="10"/>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郭熙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重庆森柏建筑设计有限公司</w:t>
            </w:r>
          </w:p>
        </w:tc>
        <w:tc>
          <w:tcPr>
            <w:tcW w:w="1728" w:type="dxa"/>
            <w:gridSpan w:val="2"/>
            <w:vAlign w:val="center"/>
          </w:tcPr>
          <w:p>
            <w:pPr>
              <w:jc w:val="center"/>
              <w:rPr>
                <w:b/>
                <w:sz w:val="21"/>
                <w:szCs w:val="21"/>
              </w:rPr>
            </w:pPr>
            <w:r>
              <w:rPr>
                <w:b/>
                <w:sz w:val="21"/>
                <w:szCs w:val="21"/>
              </w:rPr>
              <w:t>34.01.01</w:t>
            </w:r>
          </w:p>
        </w:tc>
        <w:tc>
          <w:tcPr>
            <w:tcW w:w="1729" w:type="dxa"/>
            <w:gridSpan w:val="2"/>
            <w:vAlign w:val="center"/>
          </w:tcPr>
          <w:p>
            <w:pPr>
              <w:jc w:val="center"/>
              <w:rPr>
                <w:b/>
                <w:sz w:val="21"/>
                <w:szCs w:val="21"/>
              </w:rPr>
            </w:pPr>
            <w:r>
              <w:rPr>
                <w:b/>
                <w:sz w:val="21"/>
                <w:szCs w:val="21"/>
              </w:rPr>
              <w:t>ISC-JSZJ-048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rPr>
          <w:rFonts w:ascii="宋体" w:hAnsi="宋体"/>
          <w:b/>
          <w:color w:val="000000"/>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b/>
          <w:sz w:val="21"/>
          <w:szCs w:val="21"/>
          <w:lang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w:t>
      </w:r>
      <w:r>
        <w:rPr>
          <w:rFonts w:hint="eastAsia"/>
          <w:b/>
          <w:sz w:val="21"/>
          <w:szCs w:val="21"/>
          <w:lang w:eastAsia="zh-CN"/>
        </w:rPr>
        <w:t>：</w:t>
      </w:r>
      <w:bookmarkStart w:id="7" w:name="QJ勾选Add"/>
    </w:p>
    <w:p>
      <w:pPr>
        <w:tabs>
          <w:tab w:val="left" w:pos="645"/>
        </w:tabs>
        <w:rPr>
          <w:b/>
          <w:sz w:val="21"/>
          <w:szCs w:val="21"/>
        </w:rPr>
      </w:pPr>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rFonts w:hint="eastAsia"/>
          <w:b/>
          <w:sz w:val="21"/>
          <w:szCs w:val="21"/>
        </w:rPr>
      </w:pPr>
      <w:r>
        <w:rPr>
          <w:rFonts w:hint="eastAsia"/>
          <w:b/>
          <w:sz w:val="21"/>
          <w:szCs w:val="21"/>
        </w:rPr>
        <w:t>☑受审核方管理体系文件☑适用的法律法规☑认证合同</w:t>
      </w:r>
    </w:p>
    <w:p>
      <w:pPr>
        <w:tabs>
          <w:tab w:val="left" w:pos="645"/>
        </w:tabs>
        <w:rPr>
          <w:rFonts w:hint="eastAsia"/>
          <w:b/>
          <w:sz w:val="21"/>
          <w:szCs w:val="21"/>
        </w:rPr>
      </w:pPr>
    </w:p>
    <w:p>
      <w:pPr>
        <w:tabs>
          <w:tab w:val="left" w:pos="645"/>
        </w:tabs>
        <w:rPr>
          <w:rFonts w:hint="eastAsia"/>
          <w:b/>
          <w:sz w:val="21"/>
          <w:szCs w:val="21"/>
        </w:rPr>
      </w:pPr>
    </w:p>
    <w:p>
      <w:pPr>
        <w:numPr>
          <w:ilvl w:val="0"/>
          <w:numId w:val="1"/>
        </w:numPr>
        <w:tabs>
          <w:tab w:val="left" w:pos="645"/>
        </w:tabs>
        <w:rPr>
          <w:b/>
          <w:sz w:val="26"/>
          <w:szCs w:val="26"/>
        </w:rPr>
      </w:pPr>
      <w:r>
        <w:rPr>
          <w:rFonts w:hint="eastAsia"/>
          <w:b/>
          <w:sz w:val="26"/>
          <w:szCs w:val="26"/>
        </w:rPr>
        <w:t>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268"/>
        <w:gridCol w:w="1626"/>
        <w:gridCol w:w="1147"/>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583" w:type="dxa"/>
            <w:gridSpan w:val="3"/>
          </w:tcPr>
          <w:p>
            <w:pPr>
              <w:spacing w:line="260" w:lineRule="exact"/>
              <w:rPr>
                <w:rFonts w:ascii="宋体"/>
                <w:b/>
                <w:color w:val="FF0000"/>
                <w:sz w:val="21"/>
              </w:rPr>
            </w:pPr>
            <w:bookmarkStart w:id="11" w:name="组织名称Add"/>
            <w:r>
              <w:rPr>
                <w:rFonts w:hint="eastAsia" w:ascii="宋体" w:hAnsi="宋体"/>
                <w:b/>
                <w:sz w:val="21"/>
                <w:szCs w:val="22"/>
              </w:rPr>
              <w:t>重庆博鼎建筑设计有限公司</w:t>
            </w:r>
            <w:bookmarkEnd w:id="11"/>
          </w:p>
        </w:tc>
        <w:tc>
          <w:tcPr>
            <w:tcW w:w="1147"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858" w:type="dxa"/>
          </w:tcPr>
          <w:p>
            <w:pPr>
              <w:spacing w:line="260" w:lineRule="exact"/>
              <w:rPr>
                <w:rFonts w:hint="default" w:ascii="宋体" w:eastAsia="宋体"/>
                <w:b/>
                <w:sz w:val="21"/>
                <w:lang w:val="en-US" w:eastAsia="zh-CN"/>
              </w:rPr>
            </w:pPr>
            <w:r>
              <w:rPr>
                <w:rFonts w:hint="eastAsia" w:ascii="宋体"/>
                <w:b/>
                <w:sz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583" w:type="dxa"/>
            <w:gridSpan w:val="3"/>
          </w:tcPr>
          <w:p>
            <w:pPr>
              <w:rPr>
                <w:rFonts w:ascii="宋体"/>
                <w:b/>
                <w:sz w:val="21"/>
              </w:rPr>
            </w:pPr>
            <w:bookmarkStart w:id="12" w:name="注册地址"/>
            <w:r>
              <w:rPr>
                <w:rFonts w:ascii="宋体"/>
                <w:b/>
                <w:sz w:val="21"/>
              </w:rPr>
              <w:t>重庆市渝中区大坪正街118号1幢7-1#</w:t>
            </w:r>
            <w:bookmarkEnd w:id="12"/>
          </w:p>
        </w:tc>
        <w:tc>
          <w:tcPr>
            <w:tcW w:w="1147" w:type="dxa"/>
            <w:vMerge w:val="restart"/>
            <w:vAlign w:val="center"/>
          </w:tcPr>
          <w:p>
            <w:pPr>
              <w:jc w:val="center"/>
              <w:rPr>
                <w:rFonts w:ascii="宋体"/>
                <w:b/>
                <w:sz w:val="21"/>
              </w:rPr>
            </w:pPr>
            <w:r>
              <w:rPr>
                <w:rFonts w:hint="eastAsia" w:ascii="宋体" w:hAnsi="宋体"/>
                <w:b/>
                <w:sz w:val="21"/>
              </w:rPr>
              <w:t>邮编</w:t>
            </w:r>
          </w:p>
        </w:tc>
        <w:tc>
          <w:tcPr>
            <w:tcW w:w="1858"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583" w:type="dxa"/>
            <w:gridSpan w:val="3"/>
          </w:tcPr>
          <w:p>
            <w:pPr>
              <w:rPr>
                <w:rFonts w:ascii="宋体"/>
                <w:b/>
                <w:sz w:val="21"/>
              </w:rPr>
            </w:pPr>
            <w:bookmarkStart w:id="14" w:name="办公地址"/>
            <w:r>
              <w:rPr>
                <w:rFonts w:ascii="宋体"/>
                <w:b/>
                <w:sz w:val="21"/>
              </w:rPr>
              <w:t>重庆市渝中区大坪正街118号1幢7-1#</w:t>
            </w:r>
            <w:bookmarkEnd w:id="14"/>
          </w:p>
        </w:tc>
        <w:tc>
          <w:tcPr>
            <w:tcW w:w="1147" w:type="dxa"/>
            <w:vMerge w:val="continue"/>
            <w:vAlign w:val="center"/>
          </w:tcPr>
          <w:p>
            <w:pPr>
              <w:jc w:val="center"/>
              <w:rPr>
                <w:rFonts w:ascii="宋体"/>
                <w:b/>
                <w:sz w:val="21"/>
              </w:rPr>
            </w:pPr>
          </w:p>
        </w:tc>
        <w:tc>
          <w:tcPr>
            <w:tcW w:w="1858"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583" w:type="dxa"/>
            <w:gridSpan w:val="3"/>
          </w:tcPr>
          <w:p>
            <w:pPr>
              <w:rPr>
                <w:rFonts w:ascii="宋体"/>
                <w:b/>
                <w:sz w:val="21"/>
              </w:rPr>
            </w:pPr>
            <w:bookmarkStart w:id="16" w:name="生产地址Add"/>
            <w:r>
              <w:rPr>
                <w:rFonts w:ascii="宋体"/>
                <w:b/>
                <w:sz w:val="21"/>
              </w:rPr>
              <w:t>重庆市渝中区大坪正街118号1幢7-1#</w:t>
            </w:r>
            <w:bookmarkEnd w:id="16"/>
          </w:p>
        </w:tc>
        <w:tc>
          <w:tcPr>
            <w:tcW w:w="1147" w:type="dxa"/>
            <w:vMerge w:val="continue"/>
            <w:vAlign w:val="center"/>
          </w:tcPr>
          <w:p>
            <w:pPr>
              <w:jc w:val="center"/>
              <w:rPr>
                <w:rFonts w:ascii="宋体"/>
                <w:b/>
                <w:sz w:val="21"/>
              </w:rPr>
            </w:pPr>
          </w:p>
        </w:tc>
        <w:tc>
          <w:tcPr>
            <w:tcW w:w="1858"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吴虹妮</w:t>
            </w:r>
            <w:bookmarkEnd w:id="18"/>
          </w:p>
        </w:tc>
        <w:tc>
          <w:tcPr>
            <w:tcW w:w="1268" w:type="dxa"/>
            <w:vAlign w:val="center"/>
          </w:tcPr>
          <w:p>
            <w:pPr>
              <w:jc w:val="center"/>
              <w:rPr>
                <w:rFonts w:ascii="宋体"/>
                <w:b/>
                <w:sz w:val="21"/>
              </w:rPr>
            </w:pPr>
            <w:r>
              <w:rPr>
                <w:rFonts w:hint="eastAsia" w:ascii="宋体" w:hAnsi="宋体"/>
                <w:b/>
                <w:sz w:val="21"/>
              </w:rPr>
              <w:t>电话</w:t>
            </w:r>
            <w:r>
              <w:rPr>
                <w:b/>
                <w:sz w:val="16"/>
                <w:szCs w:val="16"/>
              </w:rPr>
              <w:t>.</w:t>
            </w:r>
          </w:p>
        </w:tc>
        <w:tc>
          <w:tcPr>
            <w:tcW w:w="1626" w:type="dxa"/>
            <w:vAlign w:val="center"/>
          </w:tcPr>
          <w:p>
            <w:pPr>
              <w:jc w:val="center"/>
              <w:rPr>
                <w:rFonts w:ascii="宋体"/>
                <w:b/>
                <w:sz w:val="21"/>
              </w:rPr>
            </w:pPr>
            <w:bookmarkStart w:id="19" w:name="联系人电话Add"/>
            <w:r>
              <w:rPr>
                <w:rFonts w:ascii="宋体"/>
                <w:b/>
                <w:sz w:val="21"/>
              </w:rPr>
              <w:t>023-63302997</w:t>
            </w:r>
            <w:bookmarkEnd w:id="19"/>
          </w:p>
        </w:tc>
        <w:tc>
          <w:tcPr>
            <w:tcW w:w="1147" w:type="dxa"/>
            <w:vAlign w:val="center"/>
          </w:tcPr>
          <w:p>
            <w:pPr>
              <w:jc w:val="center"/>
              <w:rPr>
                <w:rFonts w:ascii="宋体"/>
                <w:b/>
                <w:sz w:val="21"/>
              </w:rPr>
            </w:pPr>
            <w:r>
              <w:rPr>
                <w:rFonts w:hint="eastAsia" w:ascii="宋体" w:hAnsi="宋体"/>
                <w:b/>
                <w:sz w:val="21"/>
              </w:rPr>
              <w:t>传真</w:t>
            </w:r>
          </w:p>
        </w:tc>
        <w:tc>
          <w:tcPr>
            <w:tcW w:w="1858"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刘奇</w:t>
            </w:r>
            <w:bookmarkEnd w:id="21"/>
          </w:p>
        </w:tc>
        <w:tc>
          <w:tcPr>
            <w:tcW w:w="1268" w:type="dxa"/>
            <w:vAlign w:val="center"/>
          </w:tcPr>
          <w:p>
            <w:pPr>
              <w:jc w:val="center"/>
              <w:rPr>
                <w:rFonts w:ascii="宋体" w:hAnsi="宋体"/>
                <w:b/>
                <w:sz w:val="21"/>
                <w:szCs w:val="21"/>
              </w:rPr>
            </w:pPr>
            <w:r>
              <w:rPr>
                <w:rFonts w:hint="eastAsia" w:ascii="宋体" w:hAnsi="宋体"/>
                <w:b/>
                <w:sz w:val="21"/>
                <w:szCs w:val="21"/>
              </w:rPr>
              <w:t>总经理</w:t>
            </w:r>
          </w:p>
        </w:tc>
        <w:tc>
          <w:tcPr>
            <w:tcW w:w="1626" w:type="dxa"/>
          </w:tcPr>
          <w:p>
            <w:pPr>
              <w:rPr>
                <w:rFonts w:ascii="宋体" w:hAnsi="宋体"/>
                <w:b/>
                <w:sz w:val="21"/>
                <w:szCs w:val="21"/>
              </w:rPr>
            </w:pPr>
          </w:p>
        </w:tc>
        <w:tc>
          <w:tcPr>
            <w:tcW w:w="1147" w:type="dxa"/>
            <w:vAlign w:val="center"/>
          </w:tcPr>
          <w:p>
            <w:pPr>
              <w:jc w:val="center"/>
              <w:rPr>
                <w:rFonts w:ascii="宋体" w:hAnsi="宋体"/>
                <w:b/>
                <w:sz w:val="21"/>
                <w:szCs w:val="21"/>
              </w:rPr>
            </w:pPr>
            <w:r>
              <w:rPr>
                <w:rFonts w:hint="eastAsia" w:ascii="宋体" w:hAnsi="宋体"/>
                <w:b/>
                <w:sz w:val="21"/>
                <w:szCs w:val="21"/>
              </w:rPr>
              <w:t>管理者代表</w:t>
            </w:r>
          </w:p>
        </w:tc>
        <w:tc>
          <w:tcPr>
            <w:tcW w:w="1858" w:type="dxa"/>
          </w:tcPr>
          <w:p>
            <w:pPr>
              <w:rPr>
                <w:rFonts w:ascii="宋体"/>
                <w:b/>
                <w:sz w:val="21"/>
              </w:rPr>
            </w:pPr>
            <w:bookmarkStart w:id="22" w:name="管理者代表"/>
            <w:r>
              <w:rPr>
                <w:rFonts w:ascii="宋体"/>
                <w:b/>
                <w:sz w:val="21"/>
              </w:rPr>
              <w:t>吴虹妮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957" w:type="dxa"/>
            <w:gridSpan w:val="2"/>
            <w:vAlign w:val="center"/>
          </w:tcPr>
          <w:p>
            <w:pPr>
              <w:rPr>
                <w:rFonts w:ascii="宋体" w:hAnsi="宋体"/>
                <w:b/>
                <w:sz w:val="21"/>
                <w:szCs w:val="21"/>
              </w:rPr>
            </w:pPr>
            <w:bookmarkStart w:id="23" w:name="审核开始日"/>
            <w:bookmarkStart w:id="24" w:name="审核日期"/>
            <w:r>
              <w:rPr>
                <w:rFonts w:hint="eastAsia" w:ascii="宋体" w:hAnsi="宋体"/>
                <w:b/>
                <w:sz w:val="21"/>
                <w:szCs w:val="21"/>
              </w:rPr>
              <w:t>2020年12月15日上午</w:t>
            </w:r>
            <w:bookmarkEnd w:id="23"/>
            <w:r>
              <w:rPr>
                <w:rFonts w:hint="eastAsia" w:ascii="宋体" w:hAnsi="宋体"/>
                <w:b/>
                <w:sz w:val="21"/>
                <w:szCs w:val="21"/>
              </w:rPr>
              <w:t>至</w:t>
            </w:r>
            <w:bookmarkEnd w:id="24"/>
            <w:r>
              <w:rPr>
                <w:rFonts w:hint="eastAsia" w:ascii="宋体" w:hAnsi="宋体"/>
                <w:b/>
                <w:sz w:val="21"/>
                <w:szCs w:val="21"/>
              </w:rPr>
              <w:t xml:space="preserve"> 2020年12月15日 </w:t>
            </w:r>
            <w:r>
              <w:rPr>
                <w:rFonts w:hint="eastAsia" w:ascii="宋体" w:hAnsi="宋体"/>
                <w:b/>
                <w:sz w:val="21"/>
                <w:szCs w:val="21"/>
                <w:lang w:eastAsia="zh-CN"/>
              </w:rPr>
              <w:t>下</w:t>
            </w:r>
            <w:r>
              <w:rPr>
                <w:rFonts w:hint="eastAsia" w:ascii="宋体" w:hAnsi="宋体"/>
                <w:b/>
                <w:sz w:val="21"/>
                <w:szCs w:val="21"/>
              </w:rPr>
              <w:t>午</w:t>
            </w:r>
          </w:p>
        </w:tc>
        <w:tc>
          <w:tcPr>
            <w:tcW w:w="1626" w:type="dxa"/>
            <w:vAlign w:val="center"/>
          </w:tcPr>
          <w:p>
            <w:pPr>
              <w:rPr>
                <w:rFonts w:ascii="宋体" w:hAnsi="宋体"/>
                <w:b/>
                <w:sz w:val="21"/>
                <w:szCs w:val="21"/>
              </w:rPr>
            </w:pPr>
            <w:r>
              <w:rPr>
                <w:rFonts w:hint="eastAsia" w:ascii="宋体" w:hAnsi="宋体"/>
                <w:b/>
                <w:sz w:val="21"/>
                <w:szCs w:val="21"/>
              </w:rPr>
              <w:t>一体化审核</w:t>
            </w:r>
          </w:p>
        </w:tc>
        <w:tc>
          <w:tcPr>
            <w:tcW w:w="3005"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hint="eastAsia" w:ascii="宋体" w:hAnsi="宋体"/>
                <w:b/>
                <w:sz w:val="21"/>
                <w:szCs w:val="21"/>
                <w:lang w:val="en-US" w:eastAsia="zh-CN"/>
              </w:rPr>
              <w:t>资质范围内建筑工程设计</w:t>
            </w:r>
            <w:r>
              <w:rPr>
                <w:rFonts w:hint="eastAsia" w:ascii="宋体" w:hAnsi="宋体"/>
              </w:rPr>
              <w:t xml:space="preserve"> </w:t>
            </w:r>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34.01.01</w:t>
            </w:r>
            <w:bookmarkEnd w:id="29"/>
          </w:p>
        </w:tc>
        <w:tc>
          <w:tcPr>
            <w:tcW w:w="1268"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26"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2022-10-23</w:t>
            </w:r>
          </w:p>
        </w:tc>
        <w:tc>
          <w:tcPr>
            <w:tcW w:w="1147"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858" w:type="dxa"/>
          </w:tcPr>
          <w:p>
            <w:pPr>
              <w:spacing w:line="260" w:lineRule="exact"/>
              <w:rPr>
                <w:rFonts w:ascii="宋体"/>
                <w:b/>
                <w:sz w:val="21"/>
              </w:rPr>
            </w:pPr>
            <w:r>
              <w:rPr>
                <w:rFonts w:hint="eastAsia"/>
                <w:b/>
                <w:sz w:val="20"/>
              </w:rPr>
              <w:t>2019年10月20日 上午至2019年10月22日 下午</w:t>
            </w:r>
          </w:p>
        </w:tc>
      </w:tr>
    </w:tbl>
    <w:p>
      <w:pPr>
        <w:numPr>
          <w:ilvl w:val="0"/>
          <w:numId w:val="0"/>
        </w:num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22</w:t>
      </w:r>
      <w:r>
        <w:rPr>
          <w:rFonts w:hint="eastAsia" w:ascii="宋体" w:hAnsi="宋体"/>
          <w:b/>
          <w:sz w:val="21"/>
          <w:szCs w:val="21"/>
        </w:rPr>
        <w:t>日至2020年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8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1071"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8847"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r>
              <w:rPr>
                <w:rFonts w:hint="eastAsia" w:ascii="宋体" w:hAnsi="宋体" w:eastAsia="宋体" w:cs="宋体"/>
                <w:b w:val="0"/>
                <w:bCs w:val="0"/>
                <w:color w:val="000000"/>
                <w:kern w:val="2"/>
                <w:sz w:val="21"/>
                <w:szCs w:val="21"/>
                <w:lang w:val="en-US" w:eastAsia="zh-CN" w:bidi="ar-SA"/>
              </w:rPr>
              <w:t>重庆博鼎建筑设计有限公司是一家专业从事</w:t>
            </w:r>
            <w:bookmarkStart w:id="30" w:name="审核范围"/>
            <w:r>
              <w:rPr>
                <w:rFonts w:hint="eastAsia" w:ascii="宋体" w:hAnsi="宋体" w:eastAsia="宋体" w:cs="宋体"/>
                <w:b w:val="0"/>
                <w:bCs w:val="0"/>
                <w:color w:val="000000"/>
                <w:kern w:val="2"/>
                <w:sz w:val="21"/>
                <w:szCs w:val="21"/>
                <w:lang w:val="en-US" w:eastAsia="zh-CN" w:bidi="ar-SA"/>
              </w:rPr>
              <w:t>资质范围内建筑工程设计</w:t>
            </w:r>
            <w:bookmarkEnd w:id="30"/>
            <w:r>
              <w:rPr>
                <w:rFonts w:hint="eastAsia" w:ascii="宋体" w:hAnsi="宋体" w:eastAsia="宋体" w:cs="宋体"/>
                <w:b w:val="0"/>
                <w:bCs w:val="0"/>
                <w:color w:val="000000"/>
                <w:kern w:val="2"/>
                <w:sz w:val="21"/>
                <w:szCs w:val="21"/>
                <w:lang w:val="en-US" w:eastAsia="zh-CN" w:bidi="ar-SA"/>
              </w:rPr>
              <w:t>的企业。现有员工40人，经营状况良好。组织对内外部因素、相关方需求和期望进行了充分的识别，策划和实施有效。确定了体系的边界，基本适用。管理体系无不适用条款。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71" w:type="dxa"/>
            <w:vMerge w:val="continue"/>
            <w:textDirection w:val="tbRlV"/>
            <w:vAlign w:val="center"/>
          </w:tcPr>
          <w:p>
            <w:pPr>
              <w:spacing w:line="240" w:lineRule="exact"/>
              <w:ind w:left="241" w:right="113" w:hanging="241" w:hangingChars="100"/>
              <w:jc w:val="center"/>
              <w:rPr>
                <w:rFonts w:ascii="宋体"/>
                <w:b/>
                <w:szCs w:val="21"/>
              </w:rPr>
            </w:pPr>
          </w:p>
        </w:tc>
        <w:tc>
          <w:tcPr>
            <w:tcW w:w="8847"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eastAsia="宋体" w:cs="宋体"/>
                <w:b w:val="0"/>
                <w:bCs w:val="0"/>
                <w:color w:val="000000"/>
                <w:kern w:val="2"/>
                <w:sz w:val="21"/>
                <w:szCs w:val="21"/>
                <w:lang w:val="en-US" w:eastAsia="zh-CN" w:bidi="ar-SA"/>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w:t>
            </w:r>
            <w:r>
              <w:rPr>
                <w:rFonts w:hint="eastAsia" w:ascii="宋体" w:hAnsi="宋体" w:cs="宋体"/>
                <w:b w:val="0"/>
                <w:bCs w:val="0"/>
                <w:color w:val="000000"/>
                <w:kern w:val="2"/>
                <w:sz w:val="21"/>
                <w:szCs w:val="21"/>
                <w:lang w:val="en-US" w:eastAsia="zh-CN" w:bidi="ar-SA"/>
              </w:rPr>
              <w:t>设计</w:t>
            </w:r>
            <w:bookmarkStart w:id="32" w:name="_GoBack"/>
            <w:bookmarkEnd w:id="32"/>
            <w:r>
              <w:rPr>
                <w:rFonts w:hint="eastAsia" w:ascii="宋体" w:hAnsi="宋体" w:eastAsia="宋体" w:cs="宋体"/>
                <w:b w:val="0"/>
                <w:bCs w:val="0"/>
                <w:color w:val="000000"/>
                <w:kern w:val="2"/>
                <w:sz w:val="21"/>
                <w:szCs w:val="21"/>
                <w:lang w:val="en-US" w:eastAsia="zh-CN" w:bidi="ar-SA"/>
              </w:rPr>
              <w:t>质量符合要求、及时交</w:t>
            </w:r>
            <w:r>
              <w:rPr>
                <w:rFonts w:hint="eastAsia" w:ascii="宋体" w:hAnsi="宋体" w:cs="宋体"/>
                <w:b w:val="0"/>
                <w:bCs w:val="0"/>
                <w:color w:val="000000"/>
                <w:kern w:val="2"/>
                <w:sz w:val="21"/>
                <w:szCs w:val="21"/>
                <w:lang w:val="en-US" w:eastAsia="zh-CN" w:bidi="ar-SA"/>
              </w:rPr>
              <w:t>付</w:t>
            </w:r>
            <w:r>
              <w:rPr>
                <w:rFonts w:hint="eastAsia" w:ascii="宋体" w:hAnsi="宋体" w:eastAsia="宋体" w:cs="宋体"/>
                <w:b w:val="0"/>
                <w:bCs w:val="0"/>
                <w:color w:val="000000"/>
                <w:kern w:val="2"/>
                <w:sz w:val="21"/>
                <w:szCs w:val="21"/>
                <w:lang w:val="en-US" w:eastAsia="zh-CN" w:bidi="ar-SA"/>
              </w:rPr>
              <w:t>、价格合理、服务及时等。对相关方的要求的监视和评审的方法多样，通过QQ和微信等现代通讯手段是常用的便捷而又高效主要方法。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1071" w:type="dxa"/>
            <w:vMerge w:val="continue"/>
            <w:textDirection w:val="tbRlV"/>
            <w:vAlign w:val="center"/>
          </w:tcPr>
          <w:p>
            <w:pPr>
              <w:spacing w:line="240" w:lineRule="exact"/>
              <w:ind w:left="241" w:right="113" w:hanging="241" w:hangingChars="100"/>
              <w:jc w:val="center"/>
              <w:rPr>
                <w:rFonts w:ascii="宋体"/>
                <w:b/>
                <w:szCs w:val="21"/>
              </w:rPr>
            </w:pPr>
          </w:p>
        </w:tc>
        <w:tc>
          <w:tcPr>
            <w:tcW w:w="8847"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jc w:val="left"/>
              <w:rPr>
                <w:rFonts w:ascii="宋体" w:hAnsi="宋体"/>
                <w:b/>
                <w:sz w:val="21"/>
                <w:szCs w:val="21"/>
              </w:rPr>
            </w:pPr>
            <w:r>
              <w:rPr>
                <w:rFonts w:hint="eastAsia" w:ascii="宋体" w:hAnsi="宋体" w:eastAsia="宋体" w:cs="宋体"/>
                <w:b w:val="0"/>
                <w:bCs w:val="0"/>
                <w:color w:val="000000"/>
                <w:kern w:val="2"/>
                <w:sz w:val="21"/>
                <w:szCs w:val="21"/>
                <w:lang w:val="en-US" w:eastAsia="zh-CN" w:bidi="ar-SA"/>
              </w:rPr>
              <w:t>“</w:t>
            </w:r>
            <w:r>
              <w:rPr>
                <w:rFonts w:hint="eastAsia"/>
                <w:sz w:val="21"/>
                <w:szCs w:val="21"/>
              </w:rPr>
              <w:t>以质量求生存，以信誉求发展,持续改</w:t>
            </w:r>
            <w:r>
              <w:rPr>
                <w:rFonts w:hint="eastAsia"/>
                <w:sz w:val="21"/>
                <w:szCs w:val="21"/>
                <w:lang w:eastAsia="zh-CN"/>
              </w:rPr>
              <w:t>，</w:t>
            </w:r>
            <w:r>
              <w:rPr>
                <w:rFonts w:hint="eastAsia"/>
                <w:sz w:val="21"/>
                <w:szCs w:val="21"/>
              </w:rPr>
              <w:t>进强管理</w:t>
            </w:r>
            <w:r>
              <w:rPr>
                <w:rFonts w:hint="eastAsia" w:ascii="宋体" w:hAnsi="宋体" w:eastAsia="宋体" w:cs="宋体"/>
                <w:b w:val="0"/>
                <w:bCs w:val="0"/>
                <w:color w:val="000000"/>
                <w:kern w:val="2"/>
                <w:sz w:val="21"/>
                <w:szCs w:val="21"/>
                <w:lang w:val="en-US" w:eastAsia="zh-CN" w:bidi="ar-SA"/>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1071" w:type="dxa"/>
            <w:vMerge w:val="continue"/>
            <w:textDirection w:val="tbRlV"/>
            <w:vAlign w:val="center"/>
          </w:tcPr>
          <w:p>
            <w:pPr>
              <w:spacing w:line="240" w:lineRule="exact"/>
              <w:ind w:left="241" w:right="113" w:hanging="241" w:hangingChars="100"/>
              <w:jc w:val="center"/>
              <w:rPr>
                <w:rFonts w:ascii="宋体"/>
                <w:b/>
                <w:szCs w:val="21"/>
              </w:rPr>
            </w:pPr>
          </w:p>
        </w:tc>
        <w:tc>
          <w:tcPr>
            <w:tcW w:w="8847"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1071" w:type="dxa"/>
            <w:vMerge w:val="continue"/>
            <w:vAlign w:val="center"/>
          </w:tcPr>
          <w:p>
            <w:pPr>
              <w:spacing w:line="240" w:lineRule="exact"/>
              <w:jc w:val="center"/>
              <w:rPr>
                <w:b/>
                <w:sz w:val="20"/>
              </w:rPr>
            </w:pPr>
          </w:p>
        </w:tc>
        <w:tc>
          <w:tcPr>
            <w:tcW w:w="8847"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280" w:lineRule="exact"/>
              <w:ind w:firstLine="422" w:firstLineChars="200"/>
              <w:rPr>
                <w:rFonts w:hint="eastAsia" w:ascii="宋体" w:hAnsi="宋体"/>
                <w:b/>
                <w:sz w:val="21"/>
                <w:szCs w:val="21"/>
                <w:lang w:eastAsia="zh-CN"/>
              </w:rPr>
            </w:pPr>
            <w:r>
              <w:rPr>
                <w:rFonts w:hint="eastAsia" w:ascii="宋体" w:hAnsi="宋体"/>
                <w:b/>
                <w:sz w:val="21"/>
                <w:szCs w:val="21"/>
              </w:rPr>
              <w:t>质量管理体系过</w:t>
            </w:r>
            <w:r>
              <w:rPr>
                <w:rFonts w:hint="eastAsia" w:ascii="宋体" w:hAnsi="宋体"/>
                <w:b/>
                <w:sz w:val="21"/>
                <w:szCs w:val="21"/>
                <w:lang w:eastAsia="zh-CN"/>
              </w:rPr>
              <w:t>程：</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资质范围内建筑工程设计。</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服务流程：</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设计流程：合同签订-设计输入交付（甲方提供）--方案设计-初步设计-施工图设计-评审</w:t>
            </w:r>
            <w:r>
              <w:rPr>
                <w:rFonts w:hint="eastAsia" w:ascii="宋体" w:hAnsi="宋体" w:cs="宋体"/>
                <w:sz w:val="21"/>
                <w:szCs w:val="21"/>
                <w:lang w:val="en-US" w:eastAsia="zh-CN" w:bidi="ar"/>
              </w:rPr>
              <w:t>--</w:t>
            </w:r>
            <w:r>
              <w:rPr>
                <w:rFonts w:hint="eastAsia" w:ascii="宋体" w:hAnsi="宋体" w:cs="宋体"/>
                <w:sz w:val="21"/>
                <w:szCs w:val="21"/>
                <w:lang w:val="zh-CN" w:eastAsia="zh-CN" w:bidi="ar"/>
              </w:rPr>
              <w:t>设计变更（需要时）-交付客户</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关键过程：设计过程</w:t>
            </w:r>
          </w:p>
          <w:p>
            <w:pPr>
              <w:spacing w:line="280" w:lineRule="exact"/>
              <w:rPr>
                <w:rFonts w:hint="eastAsia" w:ascii="宋体" w:hAnsi="宋体" w:eastAsia="宋体"/>
                <w:b/>
                <w:sz w:val="21"/>
                <w:szCs w:val="21"/>
                <w:lang w:eastAsia="zh-CN"/>
              </w:rPr>
            </w:pPr>
            <w:r>
              <w:rPr>
                <w:rFonts w:hint="eastAsia" w:ascii="宋体" w:hAnsi="宋体"/>
                <w:b/>
                <w:sz w:val="21"/>
                <w:szCs w:val="21"/>
                <w:lang w:eastAsia="zh-CN"/>
              </w:rPr>
              <w:t>不适用条款是：</w:t>
            </w:r>
            <w:r>
              <w:rPr>
                <w:rFonts w:hint="eastAsia" w:ascii="宋体" w:hAnsi="宋体"/>
                <w:b/>
                <w:sz w:val="21"/>
                <w:szCs w:val="21"/>
                <w:lang w:val="en-US" w:eastAsia="zh-CN"/>
              </w:rPr>
              <w:t>8.3</w:t>
            </w:r>
            <w:r>
              <w:rPr>
                <w:rFonts w:hint="eastAsia" w:ascii="宋体" w:hAnsi="宋体"/>
                <w:b/>
                <w:sz w:val="21"/>
                <w:szCs w:val="21"/>
                <w:lang w:eastAsia="zh-CN"/>
              </w:rPr>
              <w:t>条款。</w:t>
            </w:r>
            <w:r>
              <w:rPr>
                <w:rFonts w:hint="eastAsia"/>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071" w:type="dxa"/>
            <w:vMerge w:val="continue"/>
            <w:vAlign w:val="center"/>
          </w:tcPr>
          <w:p>
            <w:pPr>
              <w:spacing w:line="240" w:lineRule="exact"/>
              <w:jc w:val="center"/>
              <w:rPr>
                <w:b/>
                <w:sz w:val="20"/>
              </w:rPr>
            </w:pPr>
          </w:p>
        </w:tc>
        <w:tc>
          <w:tcPr>
            <w:tcW w:w="8847"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071" w:type="dxa"/>
            <w:vMerge w:val="continue"/>
            <w:vAlign w:val="center"/>
          </w:tcPr>
          <w:p>
            <w:pPr>
              <w:spacing w:line="240" w:lineRule="exact"/>
              <w:jc w:val="center"/>
              <w:rPr>
                <w:b/>
                <w:sz w:val="20"/>
              </w:rPr>
            </w:pPr>
          </w:p>
        </w:tc>
        <w:tc>
          <w:tcPr>
            <w:tcW w:w="8847"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1071" w:type="dxa"/>
            <w:vMerge w:val="continue"/>
            <w:vAlign w:val="center"/>
          </w:tcPr>
          <w:p>
            <w:pPr>
              <w:spacing w:line="240" w:lineRule="exact"/>
              <w:jc w:val="center"/>
              <w:rPr>
                <w:b/>
                <w:sz w:val="20"/>
              </w:rPr>
            </w:pPr>
          </w:p>
        </w:tc>
        <w:tc>
          <w:tcPr>
            <w:tcW w:w="8847"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5"/>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5"/>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5"/>
              <w:tabs>
                <w:tab w:val="left" w:pos="540"/>
              </w:tabs>
              <w:spacing w:line="300" w:lineRule="exact"/>
              <w:ind w:firstLine="0" w:firstLineChars="0"/>
              <w:rPr>
                <w:rFonts w:hint="eastAsia" w:ascii="宋体" w:hAnsi="宋体"/>
                <w:b/>
                <w:szCs w:val="21"/>
              </w:rPr>
            </w:pPr>
            <w:r>
              <w:rPr>
                <w:rFonts w:hint="eastAsia" w:ascii="宋体" w:hAnsi="宋体"/>
                <w:b/>
                <w:szCs w:val="21"/>
              </w:rPr>
              <w:t>(3)法律法规的宣传方式：培训、宣传栏、发放文件等形式。</w:t>
            </w:r>
          </w:p>
          <w:p>
            <w:pPr>
              <w:pStyle w:val="15"/>
              <w:tabs>
                <w:tab w:val="left" w:pos="540"/>
              </w:tabs>
              <w:spacing w:line="300" w:lineRule="exact"/>
              <w:ind w:firstLine="0" w:firstLineChars="0"/>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1071" w:type="dxa"/>
            <w:vMerge w:val="continue"/>
            <w:vAlign w:val="center"/>
          </w:tcPr>
          <w:p>
            <w:pPr>
              <w:spacing w:line="240" w:lineRule="exact"/>
              <w:jc w:val="center"/>
              <w:rPr>
                <w:b/>
                <w:sz w:val="20"/>
              </w:rPr>
            </w:pPr>
          </w:p>
        </w:tc>
        <w:tc>
          <w:tcPr>
            <w:tcW w:w="8847"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1071" w:type="dxa"/>
            <w:vMerge w:val="continue"/>
            <w:vAlign w:val="center"/>
          </w:tcPr>
          <w:p>
            <w:pPr>
              <w:spacing w:line="240" w:lineRule="exact"/>
              <w:jc w:val="center"/>
              <w:rPr>
                <w:b/>
                <w:sz w:val="20"/>
              </w:rPr>
            </w:pPr>
          </w:p>
        </w:tc>
        <w:tc>
          <w:tcPr>
            <w:tcW w:w="8847"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w:t>
            </w:r>
            <w:r>
              <w:rPr>
                <w:rFonts w:hint="eastAsia" w:ascii="宋体" w:hAnsi="宋体" w:cs="宋体"/>
                <w:sz w:val="21"/>
                <w:szCs w:val="21"/>
                <w:lang w:val="en-US" w:eastAsia="zh-CN"/>
              </w:rPr>
              <w:t>7</w:t>
            </w:r>
            <w:r>
              <w:rPr>
                <w:rFonts w:hint="eastAsia" w:ascii="宋体" w:hAnsi="宋体" w:cs="宋体"/>
                <w:sz w:val="21"/>
                <w:szCs w:val="21"/>
              </w:rPr>
              <w:t>年</w:t>
            </w:r>
            <w:r>
              <w:rPr>
                <w:rFonts w:hint="eastAsia" w:ascii="宋体" w:hAnsi="宋体" w:cs="宋体"/>
                <w:sz w:val="21"/>
                <w:szCs w:val="21"/>
                <w:lang w:val="en-US" w:eastAsia="zh-CN"/>
              </w:rPr>
              <w:t>12</w:t>
            </w:r>
            <w:r>
              <w:rPr>
                <w:rFonts w:hint="eastAsia" w:ascii="宋体" w:hAnsi="宋体" w:cs="宋体"/>
                <w:sz w:val="21"/>
                <w:szCs w:val="21"/>
              </w:rPr>
              <w:t>月</w:t>
            </w:r>
            <w:r>
              <w:rPr>
                <w:rFonts w:hint="eastAsia" w:ascii="宋体" w:hAnsi="宋体" w:cs="宋体"/>
                <w:sz w:val="21"/>
                <w:szCs w:val="21"/>
                <w:lang w:val="en-US" w:eastAsia="zh-CN"/>
              </w:rPr>
              <w:t>24</w:t>
            </w:r>
            <w:r>
              <w:rPr>
                <w:rFonts w:hint="eastAsia" w:ascii="宋体" w:hAnsi="宋体" w:cs="宋体"/>
                <w:sz w:val="21"/>
                <w:szCs w:val="21"/>
              </w:rPr>
              <w:t>日予以发布并有效实施运行，经对文件评审判定：符合标准要求，符合公司的实际且具有可操作性。</w:t>
            </w:r>
            <w:r>
              <w:rPr>
                <w:rFonts w:hint="eastAsia" w:ascii="宋体" w:hAnsi="宋体" w:cs="宋体"/>
                <w:sz w:val="21"/>
                <w:szCs w:val="21"/>
                <w:lang w:val="en-US" w:eastAsia="zh-CN"/>
              </w:rPr>
              <w:t>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1071"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8847"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组织按管理体系需求配置了充足的人员、设施等资源，并建立维持了资质范围内建筑工程设计运行环境，可以维持管理体系的正常运行。组织识别和维护运行中所需的知识，并适时更新，组织的知识可以保证其提供合格</w:t>
            </w:r>
            <w:r>
              <w:rPr>
                <w:rFonts w:hint="eastAsia" w:ascii="宋体" w:hAnsi="宋体" w:cs="宋体"/>
                <w:sz w:val="21"/>
                <w:szCs w:val="21"/>
                <w:lang w:eastAsia="zh-CN"/>
              </w:rPr>
              <w:t>设计产品</w:t>
            </w:r>
            <w:r>
              <w:rPr>
                <w:rFonts w:hint="eastAsia" w:ascii="宋体" w:hAnsi="宋体" w:cs="宋体"/>
                <w:sz w:val="21"/>
                <w:szCs w:val="21"/>
              </w:rPr>
              <w:t>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1071" w:type="dxa"/>
            <w:vMerge w:val="continue"/>
            <w:textDirection w:val="tbRlV"/>
            <w:vAlign w:val="center"/>
          </w:tcPr>
          <w:p>
            <w:pPr>
              <w:spacing w:line="240" w:lineRule="exact"/>
              <w:ind w:left="113" w:right="113"/>
              <w:jc w:val="center"/>
              <w:rPr>
                <w:b/>
                <w:szCs w:val="21"/>
              </w:rPr>
            </w:pPr>
          </w:p>
        </w:tc>
        <w:tc>
          <w:tcPr>
            <w:tcW w:w="8847"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cs="宋体"/>
                <w:sz w:val="21"/>
                <w:szCs w:val="21"/>
                <w:lang w:eastAsia="zh-CN"/>
              </w:rPr>
              <w:t>办公</w:t>
            </w:r>
            <w:r>
              <w:rPr>
                <w:rFonts w:hint="eastAsia" w:ascii="宋体" w:hAnsi="宋体" w:cs="宋体"/>
                <w:sz w:val="21"/>
                <w:szCs w:val="21"/>
              </w:rPr>
              <w:t>面积</w:t>
            </w:r>
            <w:r>
              <w:rPr>
                <w:rFonts w:hint="eastAsia" w:ascii="宋体" w:hAnsi="宋体" w:cs="宋体"/>
                <w:sz w:val="21"/>
                <w:szCs w:val="21"/>
                <w:lang w:val="en-US" w:eastAsia="zh-CN"/>
              </w:rPr>
              <w:t>5</w:t>
            </w:r>
            <w:r>
              <w:rPr>
                <w:rFonts w:hint="eastAsia" w:ascii="宋体" w:hAnsi="宋体" w:cs="宋体"/>
                <w:sz w:val="21"/>
                <w:szCs w:val="21"/>
              </w:rPr>
              <w:t>00平方米左右.主要设备包括</w:t>
            </w:r>
            <w:r>
              <w:rPr>
                <w:rFonts w:hint="eastAsia" w:ascii="宋体" w:hAnsi="宋体" w:cs="宋体"/>
                <w:sz w:val="21"/>
                <w:szCs w:val="21"/>
                <w:lang w:eastAsia="zh-CN"/>
              </w:rPr>
              <w:t>：电脑、打印机、办公设备等，可以</w:t>
            </w:r>
            <w:r>
              <w:rPr>
                <w:rFonts w:hint="eastAsia" w:ascii="宋体" w:hAnsi="宋体" w:cs="宋体"/>
                <w:sz w:val="21"/>
                <w:szCs w:val="21"/>
              </w:rPr>
              <w:t>满足资质范围内的建筑工程设计</w:t>
            </w:r>
            <w:r>
              <w:rPr>
                <w:rFonts w:hint="eastAsia" w:ascii="宋体" w:hAnsi="宋体" w:cs="宋体"/>
                <w:sz w:val="21"/>
                <w:szCs w:val="21"/>
                <w:lang w:eastAsia="zh-CN"/>
              </w:rPr>
              <w:t>的</w:t>
            </w:r>
            <w:r>
              <w:rPr>
                <w:rFonts w:hint="eastAsia" w:ascii="宋体" w:hAnsi="宋体" w:cs="宋体"/>
                <w:sz w:val="21"/>
                <w:szCs w:val="21"/>
              </w:rPr>
              <w:t>需要。对设备按月方式进行点检维护保养，并实施。特种设备：</w:t>
            </w:r>
            <w:r>
              <w:rPr>
                <w:rFonts w:hint="eastAsia" w:ascii="宋体" w:hAnsi="宋体" w:cs="宋体"/>
                <w:sz w:val="21"/>
                <w:szCs w:val="21"/>
                <w:lang w:eastAsia="zh-CN"/>
              </w:rPr>
              <w:t>无</w:t>
            </w:r>
            <w:r>
              <w:rPr>
                <w:rFonts w:hint="eastAsia" w:ascii="宋体" w:hAnsi="宋体" w:cs="宋体"/>
                <w:sz w:val="21"/>
                <w:szCs w:val="21"/>
              </w:rPr>
              <w:t>。公司未建立信息管理系统用于</w:t>
            </w:r>
            <w:r>
              <w:rPr>
                <w:rFonts w:hint="eastAsia" w:ascii="宋体" w:hAnsi="宋体" w:cs="宋体"/>
                <w:sz w:val="21"/>
                <w:szCs w:val="21"/>
                <w:lang w:eastAsia="zh-CN"/>
              </w:rPr>
              <w:t>设计</w:t>
            </w:r>
            <w:r>
              <w:rPr>
                <w:rFonts w:hint="eastAsia" w:ascii="宋体" w:hAnsi="宋体" w:cs="宋体"/>
                <w:sz w:val="21"/>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1071" w:type="dxa"/>
            <w:vMerge w:val="continue"/>
            <w:textDirection w:val="tbRlV"/>
            <w:vAlign w:val="center"/>
          </w:tcPr>
          <w:p>
            <w:pPr>
              <w:spacing w:line="240" w:lineRule="exact"/>
              <w:ind w:left="113" w:right="113"/>
              <w:jc w:val="center"/>
              <w:rPr>
                <w:b/>
                <w:szCs w:val="21"/>
              </w:rPr>
            </w:pPr>
          </w:p>
        </w:tc>
        <w:tc>
          <w:tcPr>
            <w:tcW w:w="8847"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办公室内设备布置合理，通道畅通，照明设施齐全，均配备了消防设施等设施。办公室明亮，作业场所光线较充足。每月由综合部对工作环境进行定期检查。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1071" w:type="dxa"/>
            <w:vMerge w:val="continue"/>
            <w:textDirection w:val="tbRlV"/>
            <w:vAlign w:val="center"/>
          </w:tcPr>
          <w:p>
            <w:pPr>
              <w:spacing w:line="240" w:lineRule="exact"/>
              <w:ind w:left="113" w:right="113"/>
              <w:jc w:val="center"/>
              <w:rPr>
                <w:b/>
                <w:szCs w:val="21"/>
              </w:rPr>
            </w:pPr>
          </w:p>
        </w:tc>
        <w:tc>
          <w:tcPr>
            <w:tcW w:w="8847"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ascii="宋体" w:hAnsi="宋体"/>
                <w:b/>
                <w:sz w:val="21"/>
                <w:szCs w:val="21"/>
              </w:rPr>
            </w:pPr>
            <w:r>
              <w:rPr>
                <w:rFonts w:hint="eastAsia" w:ascii="宋体" w:hAnsi="宋体" w:cs="宋体"/>
                <w:sz w:val="21"/>
                <w:szCs w:val="21"/>
                <w:lang w:eastAsia="zh-CN"/>
              </w:rPr>
              <w:t>公司主要根据客户提供的图纸、勘察资料等进行设计，不用勘察、测量，设计成果通过评审鉴定方式确认，不涉及检测设备。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1071" w:type="dxa"/>
            <w:vMerge w:val="continue"/>
            <w:textDirection w:val="tbRlV"/>
            <w:vAlign w:val="center"/>
          </w:tcPr>
          <w:p>
            <w:pPr>
              <w:spacing w:line="240" w:lineRule="exact"/>
              <w:ind w:left="113" w:right="113"/>
              <w:jc w:val="center"/>
              <w:rPr>
                <w:b/>
                <w:szCs w:val="21"/>
              </w:rPr>
            </w:pPr>
          </w:p>
        </w:tc>
        <w:tc>
          <w:tcPr>
            <w:tcW w:w="8847"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071" w:type="dxa"/>
            <w:vMerge w:val="continue"/>
            <w:textDirection w:val="tbRlV"/>
            <w:vAlign w:val="center"/>
          </w:tcPr>
          <w:p>
            <w:pPr>
              <w:spacing w:line="240" w:lineRule="exact"/>
              <w:ind w:left="113" w:right="113"/>
              <w:jc w:val="center"/>
              <w:rPr>
                <w:b/>
                <w:szCs w:val="21"/>
              </w:rPr>
            </w:pPr>
          </w:p>
        </w:tc>
        <w:tc>
          <w:tcPr>
            <w:tcW w:w="8847"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071" w:type="dxa"/>
            <w:vMerge w:val="continue"/>
            <w:textDirection w:val="tbRlV"/>
            <w:vAlign w:val="center"/>
          </w:tcPr>
          <w:p>
            <w:pPr>
              <w:spacing w:line="240" w:lineRule="exact"/>
              <w:ind w:left="113" w:right="113"/>
              <w:jc w:val="center"/>
              <w:rPr>
                <w:b/>
                <w:szCs w:val="21"/>
              </w:rPr>
            </w:pPr>
          </w:p>
        </w:tc>
        <w:tc>
          <w:tcPr>
            <w:tcW w:w="8847"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1071"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8847"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1071" w:type="dxa"/>
            <w:vMerge w:val="continue"/>
            <w:vAlign w:val="center"/>
          </w:tcPr>
          <w:p>
            <w:pPr>
              <w:spacing w:line="240" w:lineRule="exact"/>
              <w:jc w:val="center"/>
              <w:rPr>
                <w:b/>
                <w:szCs w:val="21"/>
              </w:rPr>
            </w:pPr>
          </w:p>
        </w:tc>
        <w:tc>
          <w:tcPr>
            <w:tcW w:w="8847"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1071" w:type="dxa"/>
            <w:vMerge w:val="continue"/>
            <w:vAlign w:val="center"/>
          </w:tcPr>
          <w:p>
            <w:pPr>
              <w:spacing w:line="240" w:lineRule="exact"/>
              <w:jc w:val="center"/>
              <w:rPr>
                <w:b/>
                <w:szCs w:val="21"/>
              </w:rPr>
            </w:pPr>
          </w:p>
        </w:tc>
        <w:tc>
          <w:tcPr>
            <w:tcW w:w="8847"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adjustRightInd w:val="0"/>
              <w:snapToGrid w:val="0"/>
              <w:spacing w:line="400" w:lineRule="exact"/>
              <w:ind w:firstLine="420" w:firstLineChars="200"/>
              <w:rPr>
                <w:rFonts w:hint="eastAsia" w:ascii="宋体" w:hAnsi="宋体" w:cs="宋体"/>
                <w:sz w:val="21"/>
                <w:szCs w:val="21"/>
                <w:lang w:eastAsia="zh-CN"/>
              </w:rPr>
            </w:pPr>
            <w:r>
              <w:rPr>
                <w:rFonts w:hint="eastAsia" w:ascii="宋体" w:hAnsi="宋体" w:cs="宋体"/>
                <w:sz w:val="21"/>
                <w:szCs w:val="21"/>
                <w:lang w:eastAsia="zh-CN"/>
              </w:rPr>
              <w:t xml:space="preserve">公司在体系文件中，规定了公司各管理层次（如质量职能部门）和在各阶段对设计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质量管理基本受控。 </w:t>
            </w:r>
          </w:p>
          <w:p>
            <w:pPr>
              <w:adjustRightInd w:val="0"/>
              <w:snapToGrid w:val="0"/>
              <w:spacing w:line="400" w:lineRule="exact"/>
              <w:rPr>
                <w:rFonts w:hint="eastAsia" w:ascii="宋体" w:hAnsi="宋体" w:cs="宋体"/>
                <w:sz w:val="21"/>
                <w:szCs w:val="21"/>
                <w:lang w:eastAsia="zh-CN"/>
              </w:rPr>
            </w:pPr>
            <w:r>
              <w:rPr>
                <w:rFonts w:hint="eastAsia" w:ascii="宋体" w:hAnsi="宋体" w:cs="宋体"/>
                <w:sz w:val="21"/>
                <w:szCs w:val="21"/>
                <w:lang w:eastAsia="zh-CN"/>
              </w:rPr>
              <w:t>QMS关键工序(过程)：设计过程</w:t>
            </w:r>
          </w:p>
          <w:p>
            <w:pPr>
              <w:adjustRightInd w:val="0"/>
              <w:snapToGrid w:val="0"/>
              <w:spacing w:line="400" w:lineRule="exact"/>
              <w:rPr>
                <w:rFonts w:hint="eastAsia" w:ascii="宋体" w:hAnsi="宋体" w:eastAsia="宋体"/>
                <w:b/>
                <w:sz w:val="21"/>
                <w:szCs w:val="21"/>
                <w:lang w:eastAsia="zh-CN"/>
              </w:rPr>
            </w:pPr>
            <w:r>
              <w:rPr>
                <w:rFonts w:hint="eastAsia" w:ascii="宋体" w:hAnsi="宋体" w:cs="宋体"/>
                <w:sz w:val="21"/>
                <w:szCs w:val="21"/>
                <w:lang w:eastAsia="zh-CN"/>
              </w:rPr>
              <w:t>特殊过程：无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1071" w:type="dxa"/>
            <w:vMerge w:val="continue"/>
            <w:vAlign w:val="center"/>
          </w:tcPr>
          <w:p>
            <w:pPr>
              <w:spacing w:line="240" w:lineRule="exact"/>
              <w:jc w:val="center"/>
              <w:rPr>
                <w:b/>
                <w:szCs w:val="21"/>
              </w:rPr>
            </w:pPr>
          </w:p>
        </w:tc>
        <w:tc>
          <w:tcPr>
            <w:tcW w:w="8847"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ind w:firstLine="400" w:firstLineChars="200"/>
              <w:rPr>
                <w:rFonts w:hint="eastAsia"/>
                <w:color w:val="000000" w:themeColor="text1"/>
                <w:sz w:val="20"/>
                <w:szCs w:val="20"/>
                <w:lang w:eastAsia="zh-CN"/>
              </w:rPr>
            </w:pPr>
            <w:r>
              <w:rPr>
                <w:rFonts w:hint="eastAsia"/>
                <w:color w:val="000000" w:themeColor="text1"/>
                <w:sz w:val="20"/>
                <w:szCs w:val="20"/>
                <w:lang w:eastAsia="zh-CN"/>
              </w:rPr>
              <w:t>制定并实施了服务检验控制规定，规定了公司各管理层次和检测部门在各阶段对设计服务质量实施检查与验收的管理要求。内容基本具备全面性、系统性及可操作性。质量检查与验收均在服务过程中予以监控检测，范围包括：过程、最终实际成果。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r>
              <w:rPr>
                <w:rFonts w:hint="eastAsia"/>
                <w:color w:val="000000" w:themeColor="text1"/>
                <w:sz w:val="20"/>
                <w:szCs w:val="20"/>
                <w:lang w:eastAsia="zh-CN"/>
              </w:rPr>
              <w:t>流程运行控制记录</w:t>
            </w:r>
            <w:r>
              <w:rPr>
                <w:rFonts w:hint="eastAsia"/>
                <w:color w:val="000000" w:themeColor="text1"/>
                <w:sz w:val="20"/>
                <w:szCs w:val="20"/>
              </w:rPr>
              <w:t>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071" w:type="dxa"/>
            <w:vMerge w:val="continue"/>
            <w:vAlign w:val="center"/>
          </w:tcPr>
          <w:p>
            <w:pPr>
              <w:spacing w:line="240" w:lineRule="exact"/>
              <w:jc w:val="center"/>
              <w:rPr>
                <w:b/>
                <w:szCs w:val="21"/>
              </w:rPr>
            </w:pPr>
          </w:p>
        </w:tc>
        <w:tc>
          <w:tcPr>
            <w:tcW w:w="8847"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1071" w:type="dxa"/>
            <w:vMerge w:val="continue"/>
            <w:vAlign w:val="center"/>
          </w:tcPr>
          <w:p>
            <w:pPr>
              <w:spacing w:line="240" w:lineRule="exact"/>
              <w:jc w:val="center"/>
              <w:rPr>
                <w:b/>
                <w:szCs w:val="21"/>
              </w:rPr>
            </w:pPr>
          </w:p>
        </w:tc>
        <w:tc>
          <w:tcPr>
            <w:tcW w:w="8847"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00" w:firstLineChars="200"/>
              <w:rPr>
                <w:rFonts w:ascii="宋体" w:hAnsi="宋体"/>
                <w:b/>
                <w:sz w:val="21"/>
                <w:szCs w:val="21"/>
              </w:rPr>
            </w:pPr>
            <w:r>
              <w:rPr>
                <w:rFonts w:hint="eastAsia"/>
                <w:color w:val="000000" w:themeColor="text1"/>
                <w:sz w:val="20"/>
                <w:szCs w:val="20"/>
                <w:lang w:eastAsia="zh-CN"/>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071" w:type="dxa"/>
            <w:vMerge w:val="continue"/>
            <w:vAlign w:val="center"/>
          </w:tcPr>
          <w:p>
            <w:pPr>
              <w:spacing w:line="240" w:lineRule="exact"/>
              <w:jc w:val="center"/>
              <w:rPr>
                <w:b/>
                <w:szCs w:val="21"/>
              </w:rPr>
            </w:pPr>
          </w:p>
        </w:tc>
        <w:tc>
          <w:tcPr>
            <w:tcW w:w="8847"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071" w:type="dxa"/>
            <w:vMerge w:val="continue"/>
            <w:vAlign w:val="center"/>
          </w:tcPr>
          <w:p>
            <w:pPr>
              <w:spacing w:line="240" w:lineRule="exact"/>
              <w:jc w:val="center"/>
              <w:rPr>
                <w:b/>
                <w:szCs w:val="21"/>
              </w:rPr>
            </w:pPr>
          </w:p>
        </w:tc>
        <w:tc>
          <w:tcPr>
            <w:tcW w:w="8847"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071" w:type="dxa"/>
            <w:vMerge w:val="continue"/>
            <w:vAlign w:val="center"/>
          </w:tcPr>
          <w:p>
            <w:pPr>
              <w:spacing w:line="240" w:lineRule="exact"/>
              <w:jc w:val="center"/>
              <w:rPr>
                <w:b/>
                <w:szCs w:val="21"/>
              </w:rPr>
            </w:pPr>
          </w:p>
        </w:tc>
        <w:tc>
          <w:tcPr>
            <w:tcW w:w="8847"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1071" w:type="dxa"/>
            <w:vMerge w:val="continue"/>
            <w:vAlign w:val="center"/>
          </w:tcPr>
          <w:p>
            <w:pPr>
              <w:spacing w:line="240" w:lineRule="exact"/>
              <w:jc w:val="center"/>
              <w:rPr>
                <w:b/>
                <w:szCs w:val="21"/>
              </w:rPr>
            </w:pPr>
          </w:p>
        </w:tc>
        <w:tc>
          <w:tcPr>
            <w:tcW w:w="8847"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1071" w:type="dxa"/>
            <w:vMerge w:val="continue"/>
            <w:vAlign w:val="center"/>
          </w:tcPr>
          <w:p>
            <w:pPr>
              <w:spacing w:line="240" w:lineRule="exact"/>
              <w:jc w:val="center"/>
              <w:rPr>
                <w:b/>
                <w:szCs w:val="21"/>
              </w:rPr>
            </w:pPr>
          </w:p>
        </w:tc>
        <w:tc>
          <w:tcPr>
            <w:tcW w:w="8847"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1071"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8847"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color w:val="000000"/>
                <w:sz w:val="21"/>
                <w:szCs w:val="21"/>
                <w:lang w:val="en-US" w:eastAsia="zh-CN"/>
              </w:rPr>
              <w:t>1</w:t>
            </w:r>
            <w:r>
              <w:rPr>
                <w:rFonts w:hint="eastAsia" w:ascii="宋体" w:hAnsi="宋体" w:cs="宋体"/>
                <w:color w:val="000000"/>
                <w:sz w:val="21"/>
                <w:szCs w:val="21"/>
              </w:rPr>
              <w:t>-2020年</w:t>
            </w:r>
            <w:r>
              <w:rPr>
                <w:rFonts w:hint="eastAsia" w:ascii="宋体" w:hAnsi="宋体" w:cs="宋体"/>
                <w:color w:val="000000"/>
                <w:sz w:val="21"/>
                <w:szCs w:val="21"/>
                <w:lang w:val="en-US" w:eastAsia="zh-CN"/>
              </w:rPr>
              <w:t>9</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1071" w:type="dxa"/>
            <w:vMerge w:val="continue"/>
            <w:textDirection w:val="tbRlV"/>
            <w:vAlign w:val="center"/>
          </w:tcPr>
          <w:p>
            <w:pPr>
              <w:spacing w:line="240" w:lineRule="exact"/>
              <w:ind w:left="113" w:right="113"/>
              <w:jc w:val="center"/>
              <w:rPr>
                <w:b/>
                <w:szCs w:val="21"/>
              </w:rPr>
            </w:pPr>
          </w:p>
        </w:tc>
        <w:tc>
          <w:tcPr>
            <w:tcW w:w="8847"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w:t>
            </w:r>
            <w:r>
              <w:rPr>
                <w:rFonts w:hint="eastAsia" w:ascii="宋体" w:hAnsi="宋体" w:eastAsia="宋体" w:cs="宋体"/>
                <w:sz w:val="21"/>
                <w:szCs w:val="21"/>
              </w:rPr>
              <w:t>利</w:t>
            </w:r>
            <w:r>
              <w:rPr>
                <w:rFonts w:hint="eastAsia" w:ascii="宋体" w:hAnsi="宋体" w:cs="宋体"/>
                <w:color w:val="000000"/>
                <w:sz w:val="21"/>
                <w:szCs w:val="21"/>
              </w:rPr>
              <w:t>用上不够，需要改善。近年来未发生重大顾客投诉和产品质量事故。顾客满意度调查按规定实施，20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04</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8%</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1071" w:type="dxa"/>
            <w:vMerge w:val="continue"/>
            <w:textDirection w:val="tbRlV"/>
            <w:vAlign w:val="center"/>
          </w:tcPr>
          <w:p>
            <w:pPr>
              <w:spacing w:line="240" w:lineRule="exact"/>
              <w:ind w:left="113" w:right="113"/>
              <w:jc w:val="center"/>
              <w:rPr>
                <w:b/>
                <w:szCs w:val="21"/>
              </w:rPr>
            </w:pPr>
          </w:p>
        </w:tc>
        <w:tc>
          <w:tcPr>
            <w:tcW w:w="8847"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numPr>
                <w:ilvl w:val="0"/>
                <w:numId w:val="0"/>
              </w:numPr>
              <w:ind w:leftChars="0"/>
              <w:rPr>
                <w:rFonts w:ascii="宋体" w:hAnsi="宋体"/>
                <w:b/>
                <w:sz w:val="21"/>
                <w:szCs w:val="21"/>
              </w:rPr>
            </w:pPr>
            <w:r>
              <w:rPr>
                <w:rFonts w:hint="eastAsia" w:ascii="宋体" w:hAnsi="宋体" w:eastAsia="宋体" w:cs="宋体"/>
                <w:color w:val="000000"/>
                <w:sz w:val="21"/>
                <w:szCs w:val="21"/>
                <w:lang w:eastAsia="zh-CN"/>
              </w:rPr>
              <w:t>建立有《内部审核控制程序》，规定了内审频次一年一次，内审时间：20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lang w:eastAsia="zh-CN"/>
              </w:rPr>
              <w:t>年</w:t>
            </w:r>
            <w:r>
              <w:rPr>
                <w:rFonts w:hint="eastAsia" w:ascii="宋体" w:hAnsi="宋体" w:eastAsia="宋体" w:cs="宋体"/>
                <w:color w:val="000000"/>
                <w:sz w:val="21"/>
                <w:szCs w:val="21"/>
                <w:lang w:val="en-US" w:eastAsia="zh-CN"/>
              </w:rPr>
              <w:t>04</w:t>
            </w:r>
            <w:r>
              <w:rPr>
                <w:rFonts w:hint="eastAsia" w:ascii="宋体" w:hAnsi="宋体" w:eastAsia="宋体" w:cs="宋体"/>
                <w:color w:val="000000"/>
                <w:sz w:val="21"/>
                <w:szCs w:val="21"/>
                <w:lang w:eastAsia="zh-CN"/>
              </w:rPr>
              <w:t>月</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lang w:eastAsia="zh-CN"/>
              </w:rPr>
              <w:t>日，拟定了审核实施表，明确了内审范围，内审人员经培训合格上岗，能力满足要求，未出现审核本部门情况，内审不符合项1项，涉及综合部</w:t>
            </w:r>
            <w:r>
              <w:rPr>
                <w:rFonts w:hint="eastAsia" w:ascii="宋体" w:hAnsi="宋体" w:eastAsia="宋体" w:cs="宋体"/>
                <w:color w:val="000000"/>
                <w:sz w:val="21"/>
                <w:szCs w:val="21"/>
                <w:lang w:val="en-US" w:eastAsia="zh-CN"/>
              </w:rPr>
              <w:t>7.2</w:t>
            </w:r>
            <w:r>
              <w:rPr>
                <w:rFonts w:hint="eastAsia" w:ascii="宋体" w:hAnsi="宋体" w:eastAsia="宋体" w:cs="宋体"/>
                <w:color w:val="000000"/>
                <w:sz w:val="21"/>
                <w:szCs w:val="21"/>
                <w:lang w:eastAsia="zh-CN"/>
              </w:rPr>
              <w:t>条款。不符合事实描述为“公司内审时发现，</w:t>
            </w:r>
            <w:r>
              <w:rPr>
                <w:rFonts w:hint="eastAsia" w:ascii="宋体" w:hAnsi="宋体" w:eastAsia="宋体" w:cs="宋体"/>
                <w:color w:val="000000"/>
                <w:sz w:val="21"/>
                <w:szCs w:val="21"/>
                <w:lang w:val="en-US" w:eastAsia="zh-CN"/>
              </w:rPr>
              <w:t>在GB/T19001-2016标准培训时，未见相关负责人对于培训效果进行评价。</w:t>
            </w:r>
            <w:r>
              <w:rPr>
                <w:rFonts w:hint="eastAsia" w:ascii="宋体" w:hAnsi="宋体" w:eastAsia="宋体" w:cs="宋体"/>
                <w:color w:val="000000"/>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1071" w:type="dxa"/>
            <w:vMerge w:val="continue"/>
            <w:textDirection w:val="tbRlV"/>
            <w:vAlign w:val="center"/>
          </w:tcPr>
          <w:p>
            <w:pPr>
              <w:spacing w:line="240" w:lineRule="exact"/>
              <w:ind w:left="113" w:right="113"/>
              <w:jc w:val="center"/>
              <w:rPr>
                <w:b/>
                <w:szCs w:val="21"/>
              </w:rPr>
            </w:pPr>
          </w:p>
        </w:tc>
        <w:tc>
          <w:tcPr>
            <w:tcW w:w="8847"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管理评审频次为一年一次、本次管理评审于</w:t>
            </w:r>
            <w:r>
              <w:rPr>
                <w:rFonts w:hint="eastAsia" w:ascii="宋体" w:hAnsi="宋体" w:cs="宋体"/>
                <w:color w:val="000000"/>
                <w:sz w:val="21"/>
                <w:szCs w:val="21"/>
                <w:lang w:eastAsia="zh-CN"/>
              </w:rPr>
              <w:t>2020年0</w:t>
            </w:r>
            <w:r>
              <w:rPr>
                <w:rFonts w:hint="eastAsia" w:ascii="宋体" w:hAnsi="宋体" w:cs="宋体"/>
                <w:color w:val="000000"/>
                <w:sz w:val="21"/>
                <w:szCs w:val="21"/>
                <w:lang w:val="en-US" w:eastAsia="zh-CN"/>
              </w:rPr>
              <w:t>5</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08</w:t>
            </w:r>
            <w:r>
              <w:rPr>
                <w:rFonts w:hint="eastAsia" w:ascii="宋体" w:hAnsi="宋体" w:cs="宋体"/>
                <w:color w:val="000000"/>
                <w:sz w:val="21"/>
                <w:szCs w:val="21"/>
                <w:lang w:eastAsia="zh-CN"/>
              </w:rPr>
              <w:t>日</w:t>
            </w:r>
            <w:r>
              <w:rPr>
                <w:rFonts w:hint="eastAsia" w:ascii="宋体" w:hAnsi="宋体" w:cs="宋体"/>
                <w:color w:val="000000"/>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071" w:type="dxa"/>
            <w:vMerge w:val="continue"/>
            <w:vAlign w:val="center"/>
          </w:tcPr>
          <w:p>
            <w:pPr>
              <w:spacing w:line="240" w:lineRule="exact"/>
              <w:jc w:val="center"/>
              <w:rPr>
                <w:b/>
                <w:sz w:val="20"/>
              </w:rPr>
            </w:pPr>
          </w:p>
        </w:tc>
        <w:tc>
          <w:tcPr>
            <w:tcW w:w="8847"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071" w:type="dxa"/>
            <w:vMerge w:val="continue"/>
            <w:vAlign w:val="center"/>
          </w:tcPr>
          <w:p>
            <w:pPr>
              <w:spacing w:line="240" w:lineRule="exact"/>
              <w:jc w:val="center"/>
              <w:rPr>
                <w:b/>
                <w:sz w:val="20"/>
              </w:rPr>
            </w:pPr>
          </w:p>
        </w:tc>
        <w:tc>
          <w:tcPr>
            <w:tcW w:w="8847"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071" w:type="dxa"/>
            <w:vMerge w:val="continue"/>
            <w:vAlign w:val="center"/>
          </w:tcPr>
          <w:p>
            <w:pPr>
              <w:spacing w:line="240" w:lineRule="exact"/>
              <w:jc w:val="center"/>
              <w:rPr>
                <w:b/>
                <w:sz w:val="20"/>
              </w:rPr>
            </w:pPr>
          </w:p>
        </w:tc>
        <w:tc>
          <w:tcPr>
            <w:tcW w:w="8847"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71" w:type="dxa"/>
            <w:vMerge w:val="continue"/>
            <w:vAlign w:val="center"/>
          </w:tcPr>
          <w:p>
            <w:pPr>
              <w:spacing w:line="240" w:lineRule="exact"/>
              <w:jc w:val="center"/>
              <w:rPr>
                <w:b/>
                <w:sz w:val="20"/>
              </w:rPr>
            </w:pPr>
          </w:p>
        </w:tc>
        <w:tc>
          <w:tcPr>
            <w:tcW w:w="8847" w:type="dxa"/>
          </w:tcPr>
          <w:p>
            <w:pPr>
              <w:numPr>
                <w:ilvl w:val="0"/>
                <w:numId w:val="8"/>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71" w:type="dxa"/>
            <w:vMerge w:val="continue"/>
            <w:vAlign w:val="center"/>
          </w:tcPr>
          <w:p>
            <w:pPr>
              <w:spacing w:line="240" w:lineRule="exact"/>
              <w:jc w:val="center"/>
              <w:rPr>
                <w:b/>
                <w:sz w:val="20"/>
              </w:rPr>
            </w:pPr>
          </w:p>
        </w:tc>
        <w:tc>
          <w:tcPr>
            <w:tcW w:w="8847"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1071"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8847"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071" w:type="dxa"/>
            <w:vMerge w:val="continue"/>
            <w:vAlign w:val="center"/>
          </w:tcPr>
          <w:p>
            <w:pPr>
              <w:spacing w:line="240" w:lineRule="exact"/>
              <w:jc w:val="center"/>
              <w:rPr>
                <w:b/>
                <w:sz w:val="20"/>
              </w:rPr>
            </w:pPr>
          </w:p>
        </w:tc>
        <w:tc>
          <w:tcPr>
            <w:tcW w:w="8847" w:type="dxa"/>
          </w:tcPr>
          <w:p>
            <w:pPr>
              <w:numPr>
                <w:ilvl w:val="0"/>
                <w:numId w:val="9"/>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71" w:type="dxa"/>
            <w:vMerge w:val="continue"/>
            <w:vAlign w:val="center"/>
          </w:tcPr>
          <w:p>
            <w:pPr>
              <w:spacing w:line="240" w:lineRule="exact"/>
              <w:jc w:val="center"/>
              <w:rPr>
                <w:b/>
                <w:sz w:val="20"/>
              </w:rPr>
            </w:pPr>
          </w:p>
        </w:tc>
        <w:tc>
          <w:tcPr>
            <w:tcW w:w="8847"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071" w:type="dxa"/>
            <w:vMerge w:val="continue"/>
            <w:vAlign w:val="center"/>
          </w:tcPr>
          <w:p>
            <w:pPr>
              <w:spacing w:line="240" w:lineRule="exact"/>
              <w:jc w:val="center"/>
              <w:rPr>
                <w:b/>
                <w:sz w:val="20"/>
              </w:rPr>
            </w:pPr>
          </w:p>
        </w:tc>
        <w:tc>
          <w:tcPr>
            <w:tcW w:w="8847"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7.2</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hint="eastAsia" w:ascii="宋体" w:hAnsi="宋体"/>
          <w:b/>
          <w:szCs w:val="21"/>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rPr>
          <w:rFonts w:hint="eastAsia" w:ascii="宋体" w:hAnsi="宋体"/>
          <w:b/>
          <w:szCs w:val="21"/>
        </w:rPr>
      </w:pPr>
    </w:p>
    <w:p>
      <w:pPr>
        <w:snapToGrid w:val="0"/>
        <w:spacing w:line="360" w:lineRule="auto"/>
        <w:rPr>
          <w:rFonts w:hint="eastAsia" w:ascii="宋体" w:hAnsi="宋体"/>
          <w:b/>
          <w:szCs w:val="21"/>
        </w:rPr>
      </w:pP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rPr>
      </w:pPr>
      <w:r>
        <w:rPr>
          <w:rFonts w:hint="eastAsia" w:ascii="宋体" w:hAnsi="宋体"/>
          <w:b/>
          <w:color w:val="000000" w:themeColor="text1"/>
          <w:szCs w:val="21"/>
        </w:rPr>
        <w:t>本</w:t>
      </w:r>
      <w:r>
        <w:rPr>
          <w:rFonts w:hint="eastAsia"/>
          <w:b/>
          <w:color w:val="000000" w:themeColor="text1"/>
          <w:sz w:val="26"/>
          <w:szCs w:val="26"/>
        </w:rPr>
        <w:t>次审核Q共开具不符合项报告项：其中</w:t>
      </w:r>
      <w:r>
        <w:rPr>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rPr>
        <w:t>严重不符合 0项，一般不符合 1项，观察项0项。不符合项分布在</w:t>
      </w:r>
      <w:r>
        <w:rPr>
          <w:rFonts w:hint="eastAsia"/>
          <w:b/>
          <w:color w:val="000000" w:themeColor="text1"/>
          <w:sz w:val="26"/>
          <w:szCs w:val="26"/>
          <w:lang w:eastAsia="zh-CN"/>
        </w:rPr>
        <w:t>设计</w:t>
      </w:r>
      <w:r>
        <w:rPr>
          <w:rFonts w:hint="eastAsia"/>
          <w:b/>
          <w:color w:val="000000" w:themeColor="text1"/>
          <w:sz w:val="26"/>
          <w:szCs w:val="26"/>
        </w:rPr>
        <w:t xml:space="preserve">部 </w:t>
      </w:r>
      <w:r>
        <w:rPr>
          <w:rFonts w:hint="eastAsia"/>
          <w:b/>
          <w:color w:val="000000" w:themeColor="text1"/>
          <w:sz w:val="26"/>
          <w:szCs w:val="26"/>
          <w:lang w:val="en-US" w:eastAsia="zh-CN"/>
        </w:rPr>
        <w:t>8.7</w:t>
      </w:r>
      <w:r>
        <w:rPr>
          <w:rFonts w:hint="eastAsia"/>
          <w:b/>
          <w:color w:val="000000" w:themeColor="text1"/>
          <w:sz w:val="26"/>
          <w:szCs w:val="26"/>
        </w:rPr>
        <w:t>条款，见不符合</w:t>
      </w:r>
      <w:r>
        <w:rPr>
          <w:rFonts w:hint="eastAsia" w:ascii="宋体" w:hAnsi="宋体"/>
          <w:b/>
          <w:color w:val="000000" w:themeColor="text1"/>
          <w:szCs w:val="21"/>
        </w:rPr>
        <w:t>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bCs/>
                <w:szCs w:val="24"/>
              </w:rPr>
            </w:pPr>
            <w:r>
              <w:rPr>
                <w:rFonts w:hint="eastAsia" w:ascii="微软雅黑" w:hAnsi="微软雅黑" w:eastAsia="微软雅黑"/>
                <w:bCs/>
                <w:szCs w:val="24"/>
              </w:rPr>
              <w:t>综上所述，审核组一致认为，（</w:t>
            </w:r>
            <w:bookmarkStart w:id="31" w:name="组织名称"/>
            <w:r>
              <w:rPr>
                <w:rFonts w:hint="eastAsia" w:ascii="微软雅黑" w:hAnsi="微软雅黑" w:eastAsia="微软雅黑"/>
                <w:bCs/>
                <w:szCs w:val="24"/>
              </w:rPr>
              <w:t>重庆博鼎建筑设计有限公司</w:t>
            </w:r>
            <w:bookmarkEnd w:id="31"/>
            <w:r>
              <w:rPr>
                <w:rFonts w:hint="eastAsia" w:ascii="微软雅黑" w:hAnsi="微软雅黑" w:eastAsia="微软雅黑"/>
                <w:bCs/>
                <w:szCs w:val="24"/>
              </w:rPr>
              <w:t>）的质量管理体系适宜、充分、得到良好的实施和保持，体系运行持续有效。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hint="eastAsia" w:ascii="宋体" w:hAnsi="宋体"/>
                <w:b/>
                <w:szCs w:val="21"/>
              </w:rPr>
            </w:pPr>
            <w:r>
              <w:rPr>
                <w:rFonts w:hint="eastAsia" w:ascii="宋体" w:hAnsi="宋体"/>
                <w:b/>
                <w:szCs w:val="21"/>
                <w:lang w:eastAsia="zh-CN"/>
              </w:rPr>
              <w:t>☑</w:t>
            </w:r>
            <w:r>
              <w:rPr>
                <w:rFonts w:hint="eastAsia" w:ascii="宋体" w:hAnsi="宋体"/>
                <w:b/>
                <w:szCs w:val="21"/>
              </w:rPr>
              <w:t>(在完成纠正措施后)推荐保持（</w:t>
            </w:r>
            <w:r>
              <w:rPr>
                <w:rFonts w:hint="eastAsia" w:ascii="宋体" w:hAnsi="宋体"/>
                <w:b/>
                <w:szCs w:val="21"/>
                <w:lang w:eastAsia="zh-CN"/>
              </w:rPr>
              <w:t>☑</w:t>
            </w:r>
            <w:r>
              <w:rPr>
                <w:rFonts w:hint="eastAsia" w:ascii="宋体" w:hAnsi="宋体"/>
                <w:b/>
                <w:szCs w:val="21"/>
              </w:rPr>
              <w:t>QMS□50430□EMS  □OHSMS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16"/>
          <w:szCs w:val="16"/>
        </w:rPr>
      </w:pPr>
      <w:r>
        <w:rPr>
          <w:rFonts w:hint="eastAsia"/>
          <w:b/>
          <w:sz w:val="21"/>
        </w:rPr>
        <w:t>日期：2020年</w:t>
      </w:r>
      <w:r>
        <w:rPr>
          <w:rFonts w:hint="eastAsia"/>
          <w:b/>
          <w:sz w:val="21"/>
          <w:lang w:val="en-US" w:eastAsia="zh-CN"/>
        </w:rPr>
        <w:t>12</w:t>
      </w:r>
      <w:r>
        <w:rPr>
          <w:rFonts w:hint="eastAsia"/>
          <w:b/>
          <w:sz w:val="21"/>
        </w:rPr>
        <w:t>月</w:t>
      </w:r>
      <w:r>
        <w:rPr>
          <w:rFonts w:hint="eastAsia"/>
          <w:b/>
          <w:sz w:val="21"/>
          <w:lang w:val="en-US" w:eastAsia="zh-CN"/>
        </w:rPr>
        <w:t>15</w:t>
      </w:r>
      <w:r>
        <w:rPr>
          <w:rFonts w:hint="eastAsia"/>
          <w:b/>
          <w:sz w:val="21"/>
        </w:rPr>
        <w:t>日</w:t>
      </w: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组长签字：                            年   月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15E2D01"/>
    <w:rsid w:val="01A00314"/>
    <w:rsid w:val="03560A05"/>
    <w:rsid w:val="0590041B"/>
    <w:rsid w:val="0724147A"/>
    <w:rsid w:val="07E63945"/>
    <w:rsid w:val="0810189E"/>
    <w:rsid w:val="09400F59"/>
    <w:rsid w:val="0995565C"/>
    <w:rsid w:val="09DB1962"/>
    <w:rsid w:val="0BC042EC"/>
    <w:rsid w:val="0D5461B6"/>
    <w:rsid w:val="0DDC49F2"/>
    <w:rsid w:val="0DF53453"/>
    <w:rsid w:val="0E011006"/>
    <w:rsid w:val="0E7F4B9B"/>
    <w:rsid w:val="0EC17C99"/>
    <w:rsid w:val="118B719A"/>
    <w:rsid w:val="1263390E"/>
    <w:rsid w:val="180C639A"/>
    <w:rsid w:val="1D517685"/>
    <w:rsid w:val="1E663375"/>
    <w:rsid w:val="1ED315F2"/>
    <w:rsid w:val="1F233878"/>
    <w:rsid w:val="206B7AC5"/>
    <w:rsid w:val="24282D23"/>
    <w:rsid w:val="277745CD"/>
    <w:rsid w:val="27FF0507"/>
    <w:rsid w:val="2D0471C3"/>
    <w:rsid w:val="2D1334E8"/>
    <w:rsid w:val="2D180AAA"/>
    <w:rsid w:val="2E3F4286"/>
    <w:rsid w:val="2EE906F7"/>
    <w:rsid w:val="2FC13290"/>
    <w:rsid w:val="30D56D9C"/>
    <w:rsid w:val="322372D0"/>
    <w:rsid w:val="353D72ED"/>
    <w:rsid w:val="35DA1EFC"/>
    <w:rsid w:val="37EA3A00"/>
    <w:rsid w:val="3A141D11"/>
    <w:rsid w:val="3A4D3E97"/>
    <w:rsid w:val="3AA55863"/>
    <w:rsid w:val="3B8A1625"/>
    <w:rsid w:val="3BEA4EC1"/>
    <w:rsid w:val="3D442CC8"/>
    <w:rsid w:val="3DB513EF"/>
    <w:rsid w:val="3E8C51BB"/>
    <w:rsid w:val="3F2E5AD7"/>
    <w:rsid w:val="3FD21CEE"/>
    <w:rsid w:val="410E4954"/>
    <w:rsid w:val="429820EC"/>
    <w:rsid w:val="43E74C44"/>
    <w:rsid w:val="45891498"/>
    <w:rsid w:val="45F53D80"/>
    <w:rsid w:val="471C2C44"/>
    <w:rsid w:val="49923A0A"/>
    <w:rsid w:val="4ADA70AE"/>
    <w:rsid w:val="4B220ED1"/>
    <w:rsid w:val="4CC443A4"/>
    <w:rsid w:val="4D5C5D52"/>
    <w:rsid w:val="4E094C99"/>
    <w:rsid w:val="52530484"/>
    <w:rsid w:val="52832D42"/>
    <w:rsid w:val="52F74D7A"/>
    <w:rsid w:val="53C651CA"/>
    <w:rsid w:val="55433E77"/>
    <w:rsid w:val="58C21D1B"/>
    <w:rsid w:val="59306F67"/>
    <w:rsid w:val="5D401FA7"/>
    <w:rsid w:val="60312F6D"/>
    <w:rsid w:val="605032A5"/>
    <w:rsid w:val="61B12954"/>
    <w:rsid w:val="634C0BD7"/>
    <w:rsid w:val="654D746B"/>
    <w:rsid w:val="65872579"/>
    <w:rsid w:val="65AA6E79"/>
    <w:rsid w:val="6780208B"/>
    <w:rsid w:val="692A08EC"/>
    <w:rsid w:val="6ABC0A9F"/>
    <w:rsid w:val="6B3D457C"/>
    <w:rsid w:val="6DBE1BC2"/>
    <w:rsid w:val="6DD7268E"/>
    <w:rsid w:val="6FB3580C"/>
    <w:rsid w:val="717D0106"/>
    <w:rsid w:val="72755D49"/>
    <w:rsid w:val="73BC4F18"/>
    <w:rsid w:val="75A77E6E"/>
    <w:rsid w:val="78214CDB"/>
    <w:rsid w:val="79A041EA"/>
    <w:rsid w:val="7A233606"/>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Subtitle"/>
    <w:basedOn w:val="1"/>
    <w:next w:val="1"/>
    <w:qFormat/>
    <w:locked/>
    <w:uiPriority w:val="0"/>
    <w:pPr>
      <w:spacing w:before="240" w:after="60" w:line="312" w:lineRule="auto"/>
      <w:jc w:val="center"/>
      <w:outlineLvl w:val="1"/>
    </w:pPr>
    <w:rPr>
      <w:rFonts w:ascii="Calibri" w:hAnsi="Calibri" w:eastAsia="宋体" w:cs="Times New Roman"/>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locked/>
    <w:uiPriority w:val="20"/>
    <w:rPr>
      <w:i/>
      <w:iCs/>
    </w:rPr>
  </w:style>
  <w:style w:type="character" w:styleId="10">
    <w:name w:val="Hyperlink"/>
    <w:basedOn w:val="8"/>
    <w:semiHidden/>
    <w:unhideWhenUsed/>
    <w:qFormat/>
    <w:uiPriority w:val="99"/>
    <w:rPr>
      <w:color w:val="0000FF"/>
      <w:u w:val="single"/>
    </w:rPr>
  </w:style>
  <w:style w:type="character" w:customStyle="1" w:styleId="11">
    <w:name w:val="批注框文本 Char"/>
    <w:link w:val="2"/>
    <w:semiHidden/>
    <w:qFormat/>
    <w:locked/>
    <w:uiPriority w:val="99"/>
    <w:rPr>
      <w:rFonts w:ascii="Times New Roman" w:hAnsi="Times New Roman" w:eastAsia="宋体" w:cs="Times New Roman"/>
      <w:sz w:val="18"/>
      <w:szCs w:val="18"/>
    </w:rPr>
  </w:style>
  <w:style w:type="character" w:customStyle="1" w:styleId="12">
    <w:name w:val="页脚 Char"/>
    <w:link w:val="3"/>
    <w:semiHidden/>
    <w:qFormat/>
    <w:locked/>
    <w:uiPriority w:val="99"/>
    <w:rPr>
      <w:rFonts w:ascii="Times New Roman" w:hAnsi="Times New Roman" w:eastAsia="宋体" w:cs="Times New Roman"/>
      <w:sz w:val="18"/>
      <w:szCs w:val="18"/>
    </w:rPr>
  </w:style>
  <w:style w:type="character" w:customStyle="1" w:styleId="13">
    <w:name w:val="页眉 Char"/>
    <w:link w:val="4"/>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39</TotalTime>
  <ScaleCrop>false</ScaleCrop>
  <LinksUpToDate>false</LinksUpToDate>
  <CharactersWithSpaces>7960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2020-12-15T07:18:00Z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